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699A73" w14:textId="44D4EF3E" w:rsidR="00880962" w:rsidRDefault="00880962" w:rsidP="00880962">
      <w:pPr>
        <w:pStyle w:val="Heading1"/>
        <w:keepNext w:val="0"/>
        <w:keepLines w:val="0"/>
        <w:spacing w:before="480" w:line="360" w:lineRule="auto"/>
        <w:jc w:val="center"/>
        <w:rPr>
          <w:rFonts w:ascii="Garamond" w:eastAsia="Times New Roman" w:hAnsi="Garamond" w:cs="Times New Roman"/>
          <w:b/>
          <w:sz w:val="26"/>
          <w:szCs w:val="26"/>
        </w:rPr>
      </w:pPr>
      <w:bookmarkStart w:id="0" w:name="_ecmbaeu64i8z" w:colFirst="0" w:colLast="0"/>
      <w:bookmarkEnd w:id="0"/>
      <w:r w:rsidRPr="004A18D9">
        <w:rPr>
          <w:rFonts w:ascii="Garamond" w:eastAsia="Times New Roman" w:hAnsi="Garamond" w:cs="Times New Roman"/>
          <w:b/>
          <w:sz w:val="26"/>
          <w:szCs w:val="26"/>
        </w:rPr>
        <w:t xml:space="preserve">Scope of Same Sex Marriage </w:t>
      </w:r>
      <w:r>
        <w:rPr>
          <w:rFonts w:ascii="Garamond" w:eastAsia="Times New Roman" w:hAnsi="Garamond" w:cs="Times New Roman"/>
          <w:b/>
          <w:sz w:val="26"/>
          <w:szCs w:val="26"/>
        </w:rPr>
        <w:t>vis-à-vis</w:t>
      </w:r>
      <w:r w:rsidRPr="004A18D9">
        <w:rPr>
          <w:rFonts w:ascii="Garamond" w:eastAsia="Times New Roman" w:hAnsi="Garamond" w:cs="Times New Roman"/>
          <w:b/>
          <w:sz w:val="26"/>
          <w:szCs w:val="26"/>
        </w:rPr>
        <w:t xml:space="preserve"> Hindu Marriage Act, 1955</w:t>
      </w:r>
    </w:p>
    <w:p w14:paraId="37EAF557" w14:textId="71E0FF1B" w:rsidR="00880962" w:rsidRDefault="00880962" w:rsidP="00880962">
      <w:pPr>
        <w:pStyle w:val="Heading2"/>
        <w:jc w:val="center"/>
        <w:rPr>
          <w:rFonts w:ascii="Garamond" w:hAnsi="Garamond"/>
          <w:b/>
          <w:bCs/>
          <w:sz w:val="26"/>
          <w:szCs w:val="26"/>
        </w:rPr>
      </w:pPr>
      <w:r w:rsidRPr="00880962">
        <w:rPr>
          <w:rFonts w:ascii="Garamond" w:hAnsi="Garamond"/>
          <w:b/>
          <w:bCs/>
          <w:sz w:val="26"/>
          <w:szCs w:val="26"/>
        </w:rPr>
        <w:t>Executive Summary</w:t>
      </w:r>
    </w:p>
    <w:p w14:paraId="5FA7B1DB" w14:textId="77777777" w:rsidR="002215B0" w:rsidRPr="002215B0" w:rsidRDefault="002215B0" w:rsidP="002215B0">
      <w:pPr>
        <w:rPr>
          <w:rFonts w:ascii="Times New Roman" w:hAnsi="Times New Roman" w:cs="Times New Roman"/>
          <w:sz w:val="24"/>
          <w:szCs w:val="24"/>
        </w:rPr>
      </w:pPr>
    </w:p>
    <w:p w14:paraId="355714E1" w14:textId="77777777" w:rsidR="00880962" w:rsidRPr="004A18D9" w:rsidRDefault="00880962" w:rsidP="00880962">
      <w:pPr>
        <w:pStyle w:val="Heading2"/>
        <w:jc w:val="center"/>
        <w:rPr>
          <w:rFonts w:ascii="Garamond" w:hAnsi="Garamond"/>
          <w:b/>
          <w:bCs/>
          <w:sz w:val="26"/>
          <w:szCs w:val="26"/>
        </w:rPr>
      </w:pPr>
      <w:bookmarkStart w:id="1" w:name="_lwl0odgi3lzk" w:colFirst="0" w:colLast="0"/>
      <w:bookmarkEnd w:id="1"/>
      <w:r w:rsidRPr="004A18D9">
        <w:rPr>
          <w:rFonts w:ascii="Garamond" w:hAnsi="Garamond" w:cstheme="majorHAnsi"/>
          <w:b/>
          <w:bCs/>
          <w:sz w:val="26"/>
          <w:szCs w:val="26"/>
        </w:rPr>
        <w:t>Introduction</w:t>
      </w:r>
    </w:p>
    <w:p w14:paraId="68C8D32D" w14:textId="77777777" w:rsidR="00880962" w:rsidRPr="004A18D9" w:rsidRDefault="00880962" w:rsidP="00880962">
      <w:pPr>
        <w:jc w:val="center"/>
        <w:rPr>
          <w:rFonts w:ascii="Garamond" w:hAnsi="Garamond"/>
          <w:i/>
          <w:iCs/>
          <w:sz w:val="26"/>
          <w:szCs w:val="26"/>
        </w:rPr>
      </w:pPr>
      <w:r w:rsidRPr="004A18D9">
        <w:rPr>
          <w:rFonts w:ascii="Garamond" w:hAnsi="Garamond"/>
          <w:i/>
          <w:iCs/>
          <w:sz w:val="26"/>
          <w:szCs w:val="26"/>
        </w:rPr>
        <w:t>Sometimes to see the obvious, one needs not only physical vision in the eye but also love in the heart.</w:t>
      </w:r>
      <w:r w:rsidRPr="004A18D9">
        <w:rPr>
          <w:rStyle w:val="FootnoteReference"/>
          <w:rFonts w:ascii="Garamond" w:hAnsi="Garamond"/>
          <w:i/>
          <w:iCs/>
          <w:sz w:val="26"/>
          <w:szCs w:val="26"/>
        </w:rPr>
        <w:footnoteReference w:id="1"/>
      </w:r>
    </w:p>
    <w:p w14:paraId="7B5A6493" w14:textId="77777777" w:rsidR="00880962" w:rsidRPr="004A18D9" w:rsidRDefault="00880962" w:rsidP="00880962">
      <w:pPr>
        <w:jc w:val="both"/>
        <w:rPr>
          <w:rFonts w:ascii="Garamond" w:hAnsi="Garamond"/>
          <w:sz w:val="26"/>
          <w:szCs w:val="26"/>
        </w:rPr>
      </w:pPr>
    </w:p>
    <w:p w14:paraId="55D14593" w14:textId="74483590" w:rsidR="00880962" w:rsidRPr="004A18D9" w:rsidRDefault="00880962" w:rsidP="00880962">
      <w:pPr>
        <w:jc w:val="both"/>
        <w:rPr>
          <w:rFonts w:ascii="Garamond" w:hAnsi="Garamond"/>
          <w:sz w:val="26"/>
          <w:szCs w:val="26"/>
        </w:rPr>
      </w:pPr>
      <w:r w:rsidRPr="004A18D9">
        <w:rPr>
          <w:rFonts w:ascii="Garamond" w:hAnsi="Garamond"/>
          <w:sz w:val="26"/>
          <w:szCs w:val="26"/>
        </w:rPr>
        <w:t>There has been a global paradigm shift in the new generations approach towards the institution of marriage, especially in light of rights of people of homosexual orientation with regards to same sex marriage. Since then, across the globe, jurisprudence of same sex marriage has evolved in answering positively or negatively on whether the existing laws would accommodate such marriages for instance in United States, the Supreme Court of the United States interpreted same sex marriage in Obergefell, v. Hodges, Director, Ohio Department of Health</w:t>
      </w:r>
      <w:r w:rsidRPr="004A18D9">
        <w:rPr>
          <w:rStyle w:val="FootnoteReference"/>
          <w:rFonts w:ascii="Garamond" w:hAnsi="Garamond"/>
          <w:sz w:val="26"/>
          <w:szCs w:val="26"/>
        </w:rPr>
        <w:footnoteReference w:id="2"/>
      </w:r>
      <w:r w:rsidRPr="004A18D9">
        <w:rPr>
          <w:rFonts w:ascii="Garamond" w:hAnsi="Garamond"/>
          <w:sz w:val="26"/>
          <w:szCs w:val="26"/>
        </w:rPr>
        <w:t xml:space="preserve"> and Price Waterhouse v. Hopkins</w:t>
      </w:r>
      <w:r w:rsidRPr="004A18D9">
        <w:rPr>
          <w:rStyle w:val="FootnoteReference"/>
          <w:rFonts w:ascii="Garamond" w:hAnsi="Garamond"/>
          <w:sz w:val="26"/>
          <w:szCs w:val="26"/>
        </w:rPr>
        <w:footnoteReference w:id="3"/>
      </w:r>
      <w:r w:rsidRPr="004A18D9">
        <w:rPr>
          <w:rFonts w:ascii="Garamond" w:hAnsi="Garamond"/>
          <w:sz w:val="26"/>
          <w:szCs w:val="26"/>
        </w:rPr>
        <w:t xml:space="preserve">, in Canada, Supreme Court of Canada </w:t>
      </w:r>
      <w:proofErr w:type="spellStart"/>
      <w:r w:rsidRPr="004A18D9">
        <w:rPr>
          <w:rFonts w:ascii="Garamond" w:hAnsi="Garamond"/>
          <w:sz w:val="26"/>
          <w:szCs w:val="26"/>
        </w:rPr>
        <w:t>Delwin</w:t>
      </w:r>
      <w:proofErr w:type="spellEnd"/>
      <w:r w:rsidRPr="004A18D9">
        <w:rPr>
          <w:rFonts w:ascii="Garamond" w:hAnsi="Garamond"/>
          <w:sz w:val="26"/>
          <w:szCs w:val="26"/>
        </w:rPr>
        <w:t xml:space="preserve"> </w:t>
      </w:r>
      <w:proofErr w:type="spellStart"/>
      <w:r w:rsidRPr="004A18D9">
        <w:rPr>
          <w:rFonts w:ascii="Garamond" w:hAnsi="Garamond"/>
          <w:sz w:val="26"/>
          <w:szCs w:val="26"/>
        </w:rPr>
        <w:t>Vriend</w:t>
      </w:r>
      <w:proofErr w:type="spellEnd"/>
      <w:r w:rsidRPr="004A18D9">
        <w:rPr>
          <w:rFonts w:ascii="Garamond" w:hAnsi="Garamond"/>
          <w:sz w:val="26"/>
          <w:szCs w:val="26"/>
        </w:rPr>
        <w:t xml:space="preserve"> and others v. Her Majesty the Queen in Right of Alberta and others</w:t>
      </w:r>
      <w:r w:rsidRPr="004A18D9">
        <w:rPr>
          <w:rStyle w:val="FootnoteReference"/>
          <w:rFonts w:ascii="Garamond" w:hAnsi="Garamond"/>
          <w:sz w:val="26"/>
          <w:szCs w:val="26"/>
        </w:rPr>
        <w:footnoteReference w:id="4"/>
      </w:r>
      <w:r w:rsidRPr="004A18D9">
        <w:rPr>
          <w:rFonts w:ascii="Garamond" w:hAnsi="Garamond"/>
          <w:sz w:val="26"/>
          <w:szCs w:val="26"/>
        </w:rPr>
        <w:t>.</w:t>
      </w:r>
    </w:p>
    <w:p w14:paraId="58670113" w14:textId="77777777" w:rsidR="00880962" w:rsidRPr="004A18D9" w:rsidRDefault="00880962" w:rsidP="00880962">
      <w:pPr>
        <w:jc w:val="both"/>
        <w:rPr>
          <w:rFonts w:ascii="Garamond" w:hAnsi="Garamond"/>
          <w:sz w:val="26"/>
          <w:szCs w:val="26"/>
        </w:rPr>
      </w:pPr>
    </w:p>
    <w:p w14:paraId="02A12C98" w14:textId="77777777" w:rsidR="00880962" w:rsidRPr="004A18D9" w:rsidRDefault="00880962" w:rsidP="00880962">
      <w:pPr>
        <w:jc w:val="both"/>
        <w:rPr>
          <w:rFonts w:ascii="Garamond" w:hAnsi="Garamond"/>
          <w:sz w:val="26"/>
          <w:szCs w:val="26"/>
        </w:rPr>
      </w:pPr>
      <w:r w:rsidRPr="004A18D9">
        <w:rPr>
          <w:rFonts w:ascii="Garamond" w:hAnsi="Garamond"/>
          <w:sz w:val="26"/>
          <w:szCs w:val="26"/>
        </w:rPr>
        <w:t>This research paper aims to examine the provisions of Hindu Marriage Act, 1955 vis-a-vis the validity of same sex marriages, and how far the law is explicitly or implicitly accommodative or barring for such marriages along with the domain of discretion of courts.</w:t>
      </w:r>
    </w:p>
    <w:p w14:paraId="7C386BE7" w14:textId="77777777" w:rsidR="00880962" w:rsidRPr="004A18D9" w:rsidRDefault="00880962" w:rsidP="00880962">
      <w:pPr>
        <w:jc w:val="both"/>
        <w:rPr>
          <w:rFonts w:ascii="Garamond" w:hAnsi="Garamond"/>
          <w:sz w:val="26"/>
          <w:szCs w:val="26"/>
        </w:rPr>
      </w:pPr>
    </w:p>
    <w:p w14:paraId="1B906EF7" w14:textId="77777777" w:rsidR="00880962" w:rsidRPr="004A18D9" w:rsidRDefault="00880962" w:rsidP="00880962">
      <w:pPr>
        <w:jc w:val="both"/>
        <w:rPr>
          <w:rFonts w:ascii="Garamond" w:hAnsi="Garamond"/>
          <w:sz w:val="26"/>
          <w:szCs w:val="26"/>
        </w:rPr>
      </w:pPr>
      <w:r w:rsidRPr="004A18D9">
        <w:rPr>
          <w:rFonts w:ascii="Garamond" w:hAnsi="Garamond"/>
          <w:sz w:val="26"/>
          <w:szCs w:val="26"/>
        </w:rPr>
        <w:t>Part I of the paper, examines the status of same sex marriage against the test of valid marriage laid as conditions in Section 5, alongside the fundamental and foundational pillar of Hindu laws, i.e., the sources of Hindu Law (</w:t>
      </w:r>
      <w:proofErr w:type="spellStart"/>
      <w:r w:rsidRPr="004A18D9">
        <w:rPr>
          <w:rFonts w:ascii="Garamond" w:hAnsi="Garamond"/>
          <w:sz w:val="26"/>
          <w:szCs w:val="26"/>
        </w:rPr>
        <w:t>Shastric</w:t>
      </w:r>
      <w:proofErr w:type="spellEnd"/>
      <w:r w:rsidRPr="004A18D9">
        <w:rPr>
          <w:rFonts w:ascii="Garamond" w:hAnsi="Garamond"/>
          <w:sz w:val="26"/>
          <w:szCs w:val="26"/>
        </w:rPr>
        <w:t xml:space="preserve"> Law) and case laws, along with scientific tests to examine the ambit of phrases like ‘mental disorder’. Further, the role of interpretation of statutes with respect to well laid principles of statutory interpretation to expand the ambit of terms like Bride and Bridegroom has been examined.</w:t>
      </w:r>
    </w:p>
    <w:p w14:paraId="0EFDAF75" w14:textId="77777777" w:rsidR="00880962" w:rsidRDefault="00880962" w:rsidP="00880962">
      <w:pPr>
        <w:spacing w:before="240" w:after="240" w:line="360" w:lineRule="auto"/>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 Part II summarily covers the </w:t>
      </w:r>
      <w:proofErr w:type="spellStart"/>
      <w:r w:rsidRPr="004A18D9">
        <w:rPr>
          <w:rFonts w:ascii="Garamond" w:eastAsia="Times New Roman" w:hAnsi="Garamond" w:cs="Times New Roman"/>
          <w:sz w:val="26"/>
          <w:szCs w:val="26"/>
        </w:rPr>
        <w:t>interpretativeness</w:t>
      </w:r>
      <w:proofErr w:type="spellEnd"/>
      <w:r w:rsidRPr="004A18D9">
        <w:rPr>
          <w:rFonts w:ascii="Garamond" w:eastAsia="Times New Roman" w:hAnsi="Garamond" w:cs="Times New Roman"/>
          <w:sz w:val="26"/>
          <w:szCs w:val="26"/>
        </w:rPr>
        <w:t xml:space="preserve"> and opinion of legal frameworks of both sides of argument.</w:t>
      </w:r>
    </w:p>
    <w:p w14:paraId="3540D80C" w14:textId="20BCC2CA" w:rsidR="00880962" w:rsidRDefault="009B1B19" w:rsidP="00880962">
      <w:pPr>
        <w:pStyle w:val="Heading2"/>
        <w:rPr>
          <w:rFonts w:ascii="Garamond" w:hAnsi="Garamond"/>
          <w:b/>
          <w:bCs/>
          <w:sz w:val="26"/>
          <w:szCs w:val="26"/>
        </w:rPr>
      </w:pPr>
      <w:r>
        <w:rPr>
          <w:rFonts w:ascii="Garamond" w:hAnsi="Garamond"/>
          <w:b/>
          <w:bCs/>
          <w:sz w:val="26"/>
          <w:szCs w:val="26"/>
        </w:rPr>
        <w:t xml:space="preserve">Empirical </w:t>
      </w:r>
      <w:r w:rsidR="00880962">
        <w:rPr>
          <w:rFonts w:ascii="Garamond" w:hAnsi="Garamond"/>
          <w:b/>
          <w:bCs/>
          <w:sz w:val="26"/>
          <w:szCs w:val="26"/>
        </w:rPr>
        <w:t>Hypo</w:t>
      </w:r>
      <w:r w:rsidR="002459B2">
        <w:rPr>
          <w:rFonts w:ascii="Garamond" w:hAnsi="Garamond"/>
          <w:b/>
          <w:bCs/>
          <w:sz w:val="26"/>
          <w:szCs w:val="26"/>
        </w:rPr>
        <w:t>thesis</w:t>
      </w:r>
    </w:p>
    <w:p w14:paraId="0489928F" w14:textId="3093930B" w:rsidR="00D460A3" w:rsidRDefault="00330D6B" w:rsidP="00D460A3">
      <w:pPr>
        <w:rPr>
          <w:rFonts w:ascii="Garamond" w:hAnsi="Garamond"/>
          <w:sz w:val="26"/>
          <w:szCs w:val="26"/>
        </w:rPr>
      </w:pPr>
      <w:r>
        <w:rPr>
          <w:rFonts w:ascii="Garamond" w:hAnsi="Garamond"/>
          <w:sz w:val="26"/>
          <w:szCs w:val="26"/>
        </w:rPr>
        <w:t>Author(s) contend that Same Sex Marriage is not barred by Hindu Marriage Act</w:t>
      </w:r>
    </w:p>
    <w:p w14:paraId="287CEB55" w14:textId="77777777" w:rsidR="00330D6B" w:rsidRPr="00D460A3" w:rsidRDefault="00330D6B" w:rsidP="00D460A3">
      <w:pPr>
        <w:rPr>
          <w:rFonts w:ascii="Garamond" w:hAnsi="Garamond"/>
          <w:sz w:val="26"/>
          <w:szCs w:val="26"/>
        </w:rPr>
      </w:pPr>
    </w:p>
    <w:p w14:paraId="5E17FEE3" w14:textId="7FE01945" w:rsidR="002459B2" w:rsidRDefault="009B1B19" w:rsidP="002459B2">
      <w:pPr>
        <w:rPr>
          <w:rFonts w:ascii="Garamond" w:hAnsi="Garamond"/>
          <w:sz w:val="26"/>
          <w:szCs w:val="26"/>
        </w:rPr>
      </w:pPr>
      <w:r>
        <w:rPr>
          <w:rFonts w:ascii="Garamond" w:hAnsi="Garamond"/>
          <w:sz w:val="26"/>
          <w:szCs w:val="26"/>
        </w:rPr>
        <w:t>H</w:t>
      </w:r>
      <w:r>
        <w:rPr>
          <w:rFonts w:ascii="Garamond" w:hAnsi="Garamond"/>
          <w:sz w:val="26"/>
          <w:szCs w:val="26"/>
          <w:vertAlign w:val="subscript"/>
        </w:rPr>
        <w:t>0</w:t>
      </w:r>
      <w:r>
        <w:rPr>
          <w:rFonts w:ascii="Garamond" w:hAnsi="Garamond"/>
          <w:sz w:val="26"/>
          <w:szCs w:val="26"/>
        </w:rPr>
        <w:t>: Hindu Marriage Act permits Same Sex Marriage</w:t>
      </w:r>
      <w:r w:rsidR="00330D6B">
        <w:rPr>
          <w:rFonts w:ascii="Garamond" w:hAnsi="Garamond"/>
          <w:sz w:val="26"/>
          <w:szCs w:val="26"/>
        </w:rPr>
        <w:t xml:space="preserve"> (Null Hypothesis)</w:t>
      </w:r>
    </w:p>
    <w:p w14:paraId="0CA945D9" w14:textId="4B387D09" w:rsidR="009B1B19" w:rsidRPr="009B1B19" w:rsidRDefault="009B1B19" w:rsidP="002459B2">
      <w:pPr>
        <w:rPr>
          <w:rFonts w:ascii="Garamond" w:hAnsi="Garamond"/>
          <w:sz w:val="26"/>
          <w:szCs w:val="26"/>
        </w:rPr>
      </w:pPr>
      <w:r>
        <w:rPr>
          <w:rFonts w:ascii="Garamond" w:hAnsi="Garamond"/>
          <w:sz w:val="26"/>
          <w:szCs w:val="26"/>
        </w:rPr>
        <w:t>H</w:t>
      </w:r>
      <w:r>
        <w:rPr>
          <w:rFonts w:ascii="Garamond" w:hAnsi="Garamond"/>
          <w:sz w:val="26"/>
          <w:szCs w:val="26"/>
          <w:vertAlign w:val="subscript"/>
        </w:rPr>
        <w:t>1</w:t>
      </w:r>
      <w:r>
        <w:rPr>
          <w:rFonts w:ascii="Garamond" w:hAnsi="Garamond"/>
          <w:sz w:val="26"/>
          <w:szCs w:val="26"/>
        </w:rPr>
        <w:t>: Hindu Marriage Act does not allow for Same Sex Marriage</w:t>
      </w:r>
      <w:r w:rsidR="00330D6B">
        <w:rPr>
          <w:rFonts w:ascii="Garamond" w:hAnsi="Garamond"/>
          <w:sz w:val="26"/>
          <w:szCs w:val="26"/>
        </w:rPr>
        <w:t xml:space="preserve"> (Alternate Hypothesis)</w:t>
      </w:r>
    </w:p>
    <w:p w14:paraId="6E184709" w14:textId="77777777" w:rsidR="00880962" w:rsidRPr="00EB3477" w:rsidRDefault="00880962" w:rsidP="00880962">
      <w:pPr>
        <w:pStyle w:val="Heading2"/>
        <w:keepNext w:val="0"/>
        <w:keepLines w:val="0"/>
        <w:spacing w:after="80" w:line="360" w:lineRule="auto"/>
        <w:jc w:val="both"/>
        <w:rPr>
          <w:rFonts w:ascii="Garamond" w:eastAsia="Times New Roman" w:hAnsi="Garamond" w:cs="Times New Roman"/>
          <w:sz w:val="26"/>
          <w:szCs w:val="26"/>
          <w:u w:val="single"/>
        </w:rPr>
      </w:pPr>
      <w:bookmarkStart w:id="2" w:name="_ybxbdeedobcj" w:colFirst="0" w:colLast="0"/>
      <w:bookmarkEnd w:id="2"/>
      <w:r w:rsidRPr="00EB3477">
        <w:rPr>
          <w:rFonts w:ascii="Garamond" w:eastAsia="Times New Roman" w:hAnsi="Garamond" w:cs="Times New Roman"/>
          <w:b/>
          <w:sz w:val="26"/>
          <w:szCs w:val="26"/>
          <w:u w:val="single"/>
        </w:rPr>
        <w:lastRenderedPageBreak/>
        <w:t>Interplay of Provisions of Hindu Marriage Act, 1955 and the Same-Sex Marriage</w:t>
      </w:r>
      <w:r w:rsidRPr="00EB3477">
        <w:rPr>
          <w:rFonts w:ascii="Garamond" w:eastAsia="Times New Roman" w:hAnsi="Garamond" w:cs="Times New Roman"/>
          <w:sz w:val="26"/>
          <w:szCs w:val="26"/>
          <w:u w:val="single"/>
        </w:rPr>
        <w:t xml:space="preserve"> </w:t>
      </w:r>
    </w:p>
    <w:p w14:paraId="346A1257" w14:textId="300063BA" w:rsidR="00880962" w:rsidRDefault="00880962" w:rsidP="00880962">
      <w:pPr>
        <w:spacing w:before="240" w:after="240" w:line="360" w:lineRule="auto"/>
        <w:jc w:val="both"/>
        <w:rPr>
          <w:rFonts w:ascii="Garamond" w:eastAsia="Times New Roman" w:hAnsi="Garamond" w:cs="Times New Roman"/>
          <w:sz w:val="26"/>
          <w:szCs w:val="26"/>
        </w:rPr>
      </w:pPr>
      <w:r w:rsidRPr="004A18D9">
        <w:rPr>
          <w:rFonts w:ascii="Garamond" w:eastAsia="Times New Roman" w:hAnsi="Garamond" w:cs="Times New Roman"/>
          <w:sz w:val="26"/>
          <w:szCs w:val="26"/>
        </w:rPr>
        <w:t>Section 5 of Hindu Marriage Act, 1955</w:t>
      </w:r>
      <w:r w:rsidR="009B1B19">
        <w:rPr>
          <w:rStyle w:val="FootnoteReference"/>
          <w:rFonts w:ascii="Garamond" w:eastAsia="Times New Roman" w:hAnsi="Garamond" w:cs="Times New Roman"/>
          <w:sz w:val="26"/>
          <w:szCs w:val="26"/>
        </w:rPr>
        <w:footnoteReference w:id="5"/>
      </w:r>
      <w:r w:rsidRPr="004A18D9">
        <w:rPr>
          <w:rFonts w:ascii="Garamond" w:eastAsia="Times New Roman" w:hAnsi="Garamond" w:cs="Times New Roman"/>
          <w:sz w:val="26"/>
          <w:szCs w:val="26"/>
        </w:rPr>
        <w:t xml:space="preserve"> provides for conditions for a Hindu Marriage. Same-sex marriage within the ambit of Hindu Marriage Act, 1955 is put to test of this section to assess the validity and possibility of such a marriage</w:t>
      </w:r>
      <w:r w:rsidR="009B1B19">
        <w:rPr>
          <w:rFonts w:ascii="Garamond" w:eastAsia="Times New Roman" w:hAnsi="Garamond" w:cs="Times New Roman"/>
          <w:sz w:val="26"/>
          <w:szCs w:val="26"/>
        </w:rPr>
        <w:t xml:space="preserve"> as H</w:t>
      </w:r>
      <w:r w:rsidR="009B1B19">
        <w:rPr>
          <w:rFonts w:ascii="Garamond" w:eastAsia="Times New Roman" w:hAnsi="Garamond" w:cs="Times New Roman"/>
          <w:sz w:val="26"/>
          <w:szCs w:val="26"/>
          <w:vertAlign w:val="subscript"/>
        </w:rPr>
        <w:t>0</w:t>
      </w:r>
      <w:r w:rsidR="009B1B19">
        <w:rPr>
          <w:rFonts w:ascii="Garamond" w:eastAsia="Times New Roman" w:hAnsi="Garamond" w:cs="Times New Roman"/>
          <w:sz w:val="26"/>
          <w:szCs w:val="26"/>
        </w:rPr>
        <w:t xml:space="preserve"> (Null Hypothesis).</w:t>
      </w:r>
    </w:p>
    <w:p w14:paraId="1F69E3A4" w14:textId="0E5FC125" w:rsidR="009B1B19" w:rsidRPr="009B1B19" w:rsidRDefault="009B1B19" w:rsidP="009B1B19">
      <w:pPr>
        <w:spacing w:before="240" w:after="240" w:line="360" w:lineRule="auto"/>
        <w:jc w:val="both"/>
        <w:rPr>
          <w:rFonts w:ascii="Garamond" w:eastAsia="Times New Roman" w:hAnsi="Garamond" w:cs="Times New Roman"/>
          <w:sz w:val="26"/>
          <w:szCs w:val="26"/>
        </w:rPr>
      </w:pPr>
      <w:r w:rsidRPr="009B1B19">
        <w:rPr>
          <w:rFonts w:ascii="Garamond" w:eastAsia="Times New Roman" w:hAnsi="Garamond" w:cs="Times New Roman"/>
          <w:sz w:val="26"/>
          <w:szCs w:val="26"/>
        </w:rPr>
        <w:t>A thorough examination of the relevant provisions of the act demonstrates unmistakably legislative intent that any marriage solemnised in violation of one or more conditions prescribed for valid marriage is not void. Section 5 describes six conditions for a valid marriage. Section 11 nullifies marriage in violation of Section 5 conditions (iv), and (v).</w:t>
      </w:r>
    </w:p>
    <w:p w14:paraId="19FEB655" w14:textId="3C4ECCD1" w:rsidR="009B1B19" w:rsidRPr="009B1B19" w:rsidRDefault="009B1B19" w:rsidP="009B1B19">
      <w:pPr>
        <w:spacing w:before="240" w:after="240" w:line="360" w:lineRule="auto"/>
        <w:jc w:val="both"/>
        <w:rPr>
          <w:rFonts w:ascii="Garamond" w:eastAsia="Times New Roman" w:hAnsi="Garamond" w:cs="Times New Roman"/>
          <w:sz w:val="26"/>
          <w:szCs w:val="26"/>
        </w:rPr>
      </w:pPr>
      <w:r w:rsidRPr="009B1B19">
        <w:rPr>
          <w:rFonts w:ascii="Garamond" w:eastAsia="Times New Roman" w:hAnsi="Garamond" w:cs="Times New Roman"/>
          <w:sz w:val="26"/>
          <w:szCs w:val="26"/>
        </w:rPr>
        <w:t>From a combined reading of Sections 5 and 11, two unmistakable propositions emerge: the act specifies conditions for valid marriage, and a marriage contracted in violation of some but not all of them renders the marriage void. The statute thus describes the conditions of valid marriage and does not leave it to inference that each of them is mandatory and that a contravention, violation, or breach of any one of them would be treated as a breach of a pre-requisite for a valid marriage, rendering it void.</w:t>
      </w:r>
    </w:p>
    <w:p w14:paraId="549C12C9" w14:textId="77777777" w:rsidR="00880962" w:rsidRPr="004A18D9" w:rsidRDefault="00880962" w:rsidP="00880962">
      <w:pPr>
        <w:pStyle w:val="Heading3"/>
        <w:keepNext w:val="0"/>
        <w:keepLines w:val="0"/>
        <w:spacing w:before="280" w:line="360" w:lineRule="auto"/>
        <w:jc w:val="both"/>
        <w:rPr>
          <w:rFonts w:ascii="Garamond" w:eastAsia="Times New Roman" w:hAnsi="Garamond" w:cs="Times New Roman"/>
          <w:b/>
          <w:color w:val="000000"/>
          <w:sz w:val="26"/>
          <w:szCs w:val="26"/>
        </w:rPr>
      </w:pPr>
      <w:r w:rsidRPr="004A18D9">
        <w:rPr>
          <w:rFonts w:ascii="Garamond" w:eastAsia="Times New Roman" w:hAnsi="Garamond" w:cs="Times New Roman"/>
          <w:b/>
          <w:color w:val="000000"/>
          <w:sz w:val="26"/>
          <w:szCs w:val="26"/>
        </w:rPr>
        <w:t>Two Hindus</w:t>
      </w:r>
    </w:p>
    <w:p w14:paraId="02897D65" w14:textId="77777777" w:rsidR="00880962" w:rsidRPr="004A18D9" w:rsidRDefault="00880962" w:rsidP="00880962">
      <w:pPr>
        <w:spacing w:before="240" w:after="240" w:line="360" w:lineRule="auto"/>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In accordance with Section 2 of the act, and through the observation held by the Supreme Court in </w:t>
      </w:r>
      <w:proofErr w:type="spellStart"/>
      <w:r w:rsidRPr="004A18D9">
        <w:rPr>
          <w:rFonts w:ascii="Garamond" w:eastAsia="Times New Roman" w:hAnsi="Garamond" w:cs="Times New Roman"/>
          <w:sz w:val="26"/>
          <w:szCs w:val="26"/>
        </w:rPr>
        <w:t>Gullipilli</w:t>
      </w:r>
      <w:proofErr w:type="spellEnd"/>
      <w:r w:rsidRPr="004A18D9">
        <w:rPr>
          <w:rFonts w:ascii="Garamond" w:eastAsia="Times New Roman" w:hAnsi="Garamond" w:cs="Times New Roman"/>
          <w:sz w:val="26"/>
          <w:szCs w:val="26"/>
        </w:rPr>
        <w:t xml:space="preserve"> </w:t>
      </w:r>
      <w:proofErr w:type="spellStart"/>
      <w:r w:rsidRPr="004A18D9">
        <w:rPr>
          <w:rFonts w:ascii="Garamond" w:eastAsia="Times New Roman" w:hAnsi="Garamond" w:cs="Times New Roman"/>
          <w:sz w:val="26"/>
          <w:szCs w:val="26"/>
        </w:rPr>
        <w:t>Sowria</w:t>
      </w:r>
      <w:proofErr w:type="spellEnd"/>
      <w:r w:rsidRPr="004A18D9">
        <w:rPr>
          <w:rFonts w:ascii="Garamond" w:eastAsia="Times New Roman" w:hAnsi="Garamond" w:cs="Times New Roman"/>
          <w:sz w:val="26"/>
          <w:szCs w:val="26"/>
        </w:rPr>
        <w:t xml:space="preserve"> Raj v. </w:t>
      </w:r>
      <w:proofErr w:type="spellStart"/>
      <w:r w:rsidRPr="004A18D9">
        <w:rPr>
          <w:rFonts w:ascii="Garamond" w:eastAsia="Times New Roman" w:hAnsi="Garamond" w:cs="Times New Roman"/>
          <w:sz w:val="26"/>
          <w:szCs w:val="26"/>
        </w:rPr>
        <w:t>Bandaru</w:t>
      </w:r>
      <w:proofErr w:type="spellEnd"/>
      <w:r w:rsidRPr="004A18D9">
        <w:rPr>
          <w:rFonts w:ascii="Garamond" w:eastAsia="Times New Roman" w:hAnsi="Garamond" w:cs="Times New Roman"/>
          <w:sz w:val="26"/>
          <w:szCs w:val="26"/>
        </w:rPr>
        <w:t xml:space="preserve"> Pavani</w:t>
      </w:r>
      <w:r>
        <w:rPr>
          <w:rStyle w:val="FootnoteReference"/>
          <w:rFonts w:ascii="Garamond" w:eastAsia="Times New Roman" w:hAnsi="Garamond" w:cs="Times New Roman"/>
          <w:sz w:val="26"/>
          <w:szCs w:val="26"/>
        </w:rPr>
        <w:footnoteReference w:id="6"/>
      </w:r>
      <w:r w:rsidRPr="004A18D9">
        <w:rPr>
          <w:rFonts w:ascii="Garamond" w:eastAsia="Times New Roman" w:hAnsi="Garamond" w:cs="Times New Roman"/>
          <w:sz w:val="26"/>
          <w:szCs w:val="26"/>
        </w:rPr>
        <w:t>, it is well established position of law that both the parties must be Hindus, thereby prima-facie examination of same sex marriage shall be assessed with the limitation of view of this condition.</w:t>
      </w:r>
    </w:p>
    <w:p w14:paraId="6F9C2D08" w14:textId="77777777" w:rsidR="00880962" w:rsidRPr="004A18D9" w:rsidRDefault="00880962" w:rsidP="00880962">
      <w:pPr>
        <w:pStyle w:val="Heading3"/>
        <w:keepNext w:val="0"/>
        <w:keepLines w:val="0"/>
        <w:spacing w:before="280" w:line="360" w:lineRule="auto"/>
        <w:jc w:val="both"/>
        <w:rPr>
          <w:rFonts w:ascii="Garamond" w:eastAsia="Times New Roman" w:hAnsi="Garamond" w:cs="Times New Roman"/>
          <w:b/>
          <w:color w:val="000000"/>
          <w:sz w:val="26"/>
          <w:szCs w:val="26"/>
        </w:rPr>
      </w:pPr>
      <w:bookmarkStart w:id="3" w:name="_w7huqpp6t5ch" w:colFirst="0" w:colLast="0"/>
      <w:bookmarkEnd w:id="3"/>
      <w:r w:rsidRPr="004A18D9">
        <w:rPr>
          <w:rFonts w:ascii="Garamond" w:eastAsia="Times New Roman" w:hAnsi="Garamond" w:cs="Times New Roman"/>
          <w:b/>
          <w:color w:val="000000"/>
          <w:sz w:val="26"/>
          <w:szCs w:val="26"/>
        </w:rPr>
        <w:t>1. Monogamy</w:t>
      </w:r>
    </w:p>
    <w:p w14:paraId="16F3FD1D" w14:textId="143020AE" w:rsidR="002B0EAA" w:rsidRPr="002B0EAA" w:rsidRDefault="002B0EAA" w:rsidP="00880962">
      <w:pPr>
        <w:spacing w:before="240" w:after="240" w:line="360" w:lineRule="auto"/>
        <w:jc w:val="both"/>
        <w:rPr>
          <w:rFonts w:ascii="Garamond" w:eastAsia="Times New Roman" w:hAnsi="Garamond" w:cs="Times New Roman"/>
          <w:i/>
          <w:iCs/>
          <w:sz w:val="26"/>
          <w:szCs w:val="26"/>
        </w:rPr>
      </w:pPr>
      <w:r>
        <w:rPr>
          <w:rFonts w:ascii="Garamond" w:eastAsia="Times New Roman" w:hAnsi="Garamond" w:cs="Times New Roman"/>
          <w:i/>
          <w:iCs/>
          <w:sz w:val="26"/>
          <w:szCs w:val="26"/>
        </w:rPr>
        <w:t>Issue Examined: Whether a person could have a Homosexual and Heterosexual marriage co-existing?</w:t>
      </w:r>
    </w:p>
    <w:p w14:paraId="55788597" w14:textId="50458B0B" w:rsidR="00880962" w:rsidRPr="004A18D9" w:rsidRDefault="00880962" w:rsidP="00880962">
      <w:pPr>
        <w:spacing w:before="240" w:after="240" w:line="360" w:lineRule="auto"/>
        <w:jc w:val="both"/>
        <w:rPr>
          <w:rFonts w:ascii="Garamond" w:eastAsia="Times New Roman" w:hAnsi="Garamond" w:cs="Times New Roman"/>
          <w:sz w:val="26"/>
          <w:szCs w:val="26"/>
        </w:rPr>
      </w:pPr>
      <w:r w:rsidRPr="004A18D9">
        <w:rPr>
          <w:rFonts w:ascii="Garamond" w:eastAsia="Times New Roman" w:hAnsi="Garamond" w:cs="Times New Roman"/>
          <w:sz w:val="26"/>
          <w:szCs w:val="26"/>
        </w:rPr>
        <w:t>Section 5 (</w:t>
      </w:r>
      <w:proofErr w:type="spellStart"/>
      <w:r w:rsidRPr="004A18D9">
        <w:rPr>
          <w:rFonts w:ascii="Garamond" w:eastAsia="Times New Roman" w:hAnsi="Garamond" w:cs="Times New Roman"/>
          <w:sz w:val="26"/>
          <w:szCs w:val="26"/>
        </w:rPr>
        <w:t>i</w:t>
      </w:r>
      <w:proofErr w:type="spellEnd"/>
      <w:r w:rsidRPr="004A18D9">
        <w:rPr>
          <w:rFonts w:ascii="Garamond" w:eastAsia="Times New Roman" w:hAnsi="Garamond" w:cs="Times New Roman"/>
          <w:sz w:val="26"/>
          <w:szCs w:val="26"/>
        </w:rPr>
        <w:t>) provides that neither party shall have a living spouse at the time of marriage, this condition is not at cross-road of the subject matter and a general law that has to be followed if the hypothetical same-sex marriage is registered within the ambit of Hindu Marriage Act.</w:t>
      </w:r>
    </w:p>
    <w:p w14:paraId="3C6AC4B3" w14:textId="085772C4" w:rsidR="002B0EAA" w:rsidRDefault="00880962" w:rsidP="00880962">
      <w:pPr>
        <w:spacing w:before="240" w:after="240" w:line="360" w:lineRule="auto"/>
        <w:jc w:val="both"/>
        <w:rPr>
          <w:rFonts w:ascii="Garamond" w:eastAsia="Times New Roman" w:hAnsi="Garamond" w:cs="Times New Roman"/>
          <w:sz w:val="26"/>
          <w:szCs w:val="26"/>
        </w:rPr>
      </w:pPr>
      <w:r w:rsidRPr="004A18D9">
        <w:rPr>
          <w:rFonts w:ascii="Garamond" w:eastAsia="Times New Roman" w:hAnsi="Garamond" w:cs="Times New Roman"/>
          <w:sz w:val="26"/>
          <w:szCs w:val="26"/>
        </w:rPr>
        <w:lastRenderedPageBreak/>
        <w:t>Notably, this section might not be a saving clause of multiple marriages either of them being heterosexual and other homosexual (i.e., a same sex couple solemnising marriage under this act and at the same time one of such spouse having another heterosexual marriage, would also count as the second marriage). There would exist no accommodation for a heterosexual and a homosexual marriage in co-existence.</w:t>
      </w:r>
    </w:p>
    <w:tbl>
      <w:tblPr>
        <w:tblStyle w:val="TableGridLight"/>
        <w:tblW w:w="0" w:type="auto"/>
        <w:tblLook w:val="04A0" w:firstRow="1" w:lastRow="0" w:firstColumn="1" w:lastColumn="0" w:noHBand="0" w:noVBand="1"/>
      </w:tblPr>
      <w:tblGrid>
        <w:gridCol w:w="9016"/>
      </w:tblGrid>
      <w:tr w:rsidR="002B0EAA" w14:paraId="3D6B0DDA" w14:textId="77777777" w:rsidTr="002B0EAA">
        <w:tc>
          <w:tcPr>
            <w:tcW w:w="9016" w:type="dxa"/>
          </w:tcPr>
          <w:p w14:paraId="47AFC6D1" w14:textId="0BCA08F1" w:rsidR="002B0EAA" w:rsidRDefault="002B0EAA" w:rsidP="00880962">
            <w:pPr>
              <w:spacing w:before="240" w:after="240" w:line="360" w:lineRule="auto"/>
              <w:jc w:val="both"/>
              <w:rPr>
                <w:rFonts w:ascii="Garamond" w:eastAsia="Times New Roman" w:hAnsi="Garamond" w:cs="Times New Roman"/>
                <w:sz w:val="26"/>
                <w:szCs w:val="26"/>
              </w:rPr>
            </w:pPr>
            <w:r>
              <w:rPr>
                <w:rFonts w:ascii="Garamond" w:eastAsia="Times New Roman" w:hAnsi="Garamond" w:cs="Times New Roman"/>
                <w:i/>
                <w:iCs/>
                <w:sz w:val="26"/>
                <w:szCs w:val="26"/>
              </w:rPr>
              <w:t>Conclusion:</w:t>
            </w:r>
            <w:r>
              <w:rPr>
                <w:rFonts w:ascii="Garamond" w:eastAsia="Times New Roman" w:hAnsi="Garamond" w:cs="Times New Roman"/>
                <w:sz w:val="26"/>
                <w:szCs w:val="26"/>
              </w:rPr>
              <w:t xml:space="preserve"> Same-sex marriage if permitted, within Hindu Marriage Act, would not provide for such a scenario such as A (Male) have a spouse B (Female) and another spouse C (Male) i.e., A heterosexual and another homosexual marriage.</w:t>
            </w:r>
          </w:p>
        </w:tc>
      </w:tr>
    </w:tbl>
    <w:p w14:paraId="3B6003D3" w14:textId="77777777" w:rsidR="002B0EAA" w:rsidRPr="009B1B19" w:rsidRDefault="002B0EAA" w:rsidP="00880962">
      <w:pPr>
        <w:spacing w:before="240" w:after="240" w:line="360" w:lineRule="auto"/>
        <w:jc w:val="both"/>
        <w:rPr>
          <w:rFonts w:ascii="Garamond" w:eastAsia="Times New Roman" w:hAnsi="Garamond" w:cs="Times New Roman"/>
          <w:sz w:val="26"/>
          <w:szCs w:val="26"/>
        </w:rPr>
      </w:pPr>
      <w:bookmarkStart w:id="4" w:name="_ooemftrch33k" w:colFirst="0" w:colLast="0"/>
      <w:bookmarkEnd w:id="4"/>
    </w:p>
    <w:p w14:paraId="0F56968B" w14:textId="77777777" w:rsidR="00880962" w:rsidRPr="004A18D9" w:rsidRDefault="00880962" w:rsidP="00880962">
      <w:pPr>
        <w:pStyle w:val="Heading3"/>
        <w:keepNext w:val="0"/>
        <w:keepLines w:val="0"/>
        <w:spacing w:before="280" w:line="360" w:lineRule="auto"/>
        <w:jc w:val="both"/>
        <w:rPr>
          <w:rFonts w:ascii="Garamond" w:eastAsia="Times New Roman" w:hAnsi="Garamond" w:cs="Times New Roman"/>
          <w:b/>
          <w:color w:val="000000"/>
          <w:sz w:val="26"/>
          <w:szCs w:val="26"/>
        </w:rPr>
      </w:pPr>
      <w:r w:rsidRPr="004A18D9">
        <w:rPr>
          <w:rFonts w:ascii="Garamond" w:eastAsia="Times New Roman" w:hAnsi="Garamond" w:cs="Times New Roman"/>
          <w:b/>
          <w:color w:val="000000"/>
          <w:sz w:val="26"/>
          <w:szCs w:val="26"/>
        </w:rPr>
        <w:t>2. Mental Incapacity for Procreation of Children</w:t>
      </w:r>
    </w:p>
    <w:p w14:paraId="7E2F1B65" w14:textId="5791D61E" w:rsidR="002B0EAA" w:rsidRPr="002B0EAA" w:rsidRDefault="002B0EAA" w:rsidP="00880962">
      <w:pPr>
        <w:spacing w:before="240" w:after="240" w:line="360" w:lineRule="auto"/>
        <w:jc w:val="both"/>
        <w:rPr>
          <w:rFonts w:ascii="Garamond" w:eastAsia="Times New Roman" w:hAnsi="Garamond" w:cs="Times New Roman"/>
          <w:i/>
          <w:iCs/>
          <w:sz w:val="26"/>
          <w:szCs w:val="26"/>
        </w:rPr>
      </w:pPr>
      <w:r>
        <w:rPr>
          <w:rFonts w:ascii="Garamond" w:eastAsia="Times New Roman" w:hAnsi="Garamond" w:cs="Times New Roman"/>
          <w:i/>
          <w:iCs/>
          <w:sz w:val="26"/>
          <w:szCs w:val="26"/>
        </w:rPr>
        <w:t>Issue Examined: Examining homosexuality vis-à-vis Mental Incapacity for Procreation and Right Not to Reproduce.</w:t>
      </w:r>
    </w:p>
    <w:p w14:paraId="07D9FCD6" w14:textId="15627BAB" w:rsidR="00880962" w:rsidRPr="004A18D9" w:rsidRDefault="00880962" w:rsidP="00880962">
      <w:pPr>
        <w:spacing w:before="240" w:after="240" w:line="360" w:lineRule="auto"/>
        <w:jc w:val="both"/>
        <w:rPr>
          <w:rFonts w:ascii="Garamond" w:eastAsia="Times New Roman" w:hAnsi="Garamond" w:cs="Times New Roman"/>
          <w:color w:val="1155CC"/>
          <w:sz w:val="26"/>
          <w:szCs w:val="26"/>
          <w:u w:val="single"/>
        </w:rPr>
      </w:pPr>
      <w:r w:rsidRPr="004A18D9">
        <w:rPr>
          <w:rFonts w:ascii="Garamond" w:eastAsia="Times New Roman" w:hAnsi="Garamond" w:cs="Times New Roman"/>
          <w:sz w:val="26"/>
          <w:szCs w:val="26"/>
        </w:rPr>
        <w:t>Mental disorder that would render a person unfit for Procreation of children has been a ground of voidable marriage under Section 12 of Hindu Marriage Act. A mental disorder does not mean minor abnormal behaviour and no human is hundred percent normal. Mental disorder would prima facie mean a disorder of a sufficiently grave and serious nature as will make marriage relationship hazardous, is only taken as a disqualifying factor for a valid marriage between the parties.</w:t>
      </w:r>
      <w:r>
        <w:rPr>
          <w:rStyle w:val="FootnoteReference"/>
          <w:rFonts w:ascii="Garamond" w:eastAsia="Times New Roman" w:hAnsi="Garamond" w:cs="Times New Roman"/>
          <w:sz w:val="26"/>
          <w:szCs w:val="26"/>
        </w:rPr>
        <w:footnoteReference w:id="7"/>
      </w:r>
    </w:p>
    <w:p w14:paraId="50C542E8" w14:textId="77777777" w:rsidR="00880962" w:rsidRPr="004A18D9" w:rsidRDefault="00880962" w:rsidP="00880962">
      <w:pPr>
        <w:spacing w:before="240" w:after="240" w:line="360" w:lineRule="auto"/>
        <w:jc w:val="both"/>
        <w:rPr>
          <w:rFonts w:ascii="Garamond" w:eastAsia="Times New Roman" w:hAnsi="Garamond" w:cs="Times New Roman"/>
          <w:sz w:val="26"/>
          <w:szCs w:val="26"/>
        </w:rPr>
      </w:pPr>
      <w:commentRangeStart w:id="5"/>
      <w:r w:rsidRPr="004A18D9">
        <w:rPr>
          <w:rFonts w:ascii="Garamond" w:eastAsia="Times New Roman" w:hAnsi="Garamond" w:cs="Times New Roman"/>
          <w:sz w:val="26"/>
          <w:szCs w:val="26"/>
        </w:rPr>
        <w:t>Under the ambit of this section, the prima-facie assessment is with respect to the phrase “unfit for procreation of children”, whereby the consideration is of permanent inability of both the parties to procreate. In such a case, the jurisprudence of matrimonial relations would need to divorce marriage from procreation, where ‘Right to Reproduce’ would be at cross-roads to include ‘Right Not to Reproduce’.</w:t>
      </w:r>
      <w:commentRangeEnd w:id="5"/>
      <w:r w:rsidR="002B0EAA">
        <w:rPr>
          <w:rStyle w:val="CommentReference"/>
        </w:rPr>
        <w:commentReference w:id="5"/>
      </w:r>
    </w:p>
    <w:p w14:paraId="57F6A8BA" w14:textId="016B37E2" w:rsidR="00880962" w:rsidRDefault="00880962" w:rsidP="00880962">
      <w:pPr>
        <w:spacing w:before="240" w:after="240" w:line="360" w:lineRule="auto"/>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Being a voidable ground, since both the parties are aware that procreation of child is not naturally possible, it can be deemed that party’s choice is firm perhaps </w:t>
      </w:r>
      <w:proofErr w:type="spellStart"/>
      <w:r w:rsidRPr="004A18D9">
        <w:rPr>
          <w:rFonts w:ascii="Garamond" w:eastAsia="Times New Roman" w:hAnsi="Garamond" w:cs="Times New Roman"/>
          <w:sz w:val="26"/>
          <w:szCs w:val="26"/>
        </w:rPr>
        <w:t>pari</w:t>
      </w:r>
      <w:proofErr w:type="spellEnd"/>
      <w:r w:rsidRPr="004A18D9">
        <w:rPr>
          <w:rFonts w:ascii="Garamond" w:eastAsia="Times New Roman" w:hAnsi="Garamond" w:cs="Times New Roman"/>
          <w:sz w:val="26"/>
          <w:szCs w:val="26"/>
        </w:rPr>
        <w:t xml:space="preserve"> passu a </w:t>
      </w:r>
      <w:r w:rsidRPr="004A18D9">
        <w:rPr>
          <w:rFonts w:ascii="Garamond" w:eastAsia="Times New Roman" w:hAnsi="Garamond" w:cs="Times New Roman"/>
          <w:sz w:val="26"/>
          <w:szCs w:val="26"/>
        </w:rPr>
        <w:lastRenderedPageBreak/>
        <w:t>couple/one of the parties not having child</w:t>
      </w:r>
      <w:r>
        <w:rPr>
          <w:rStyle w:val="FootnoteReference"/>
          <w:rFonts w:ascii="Garamond" w:eastAsia="Times New Roman" w:hAnsi="Garamond" w:cs="Times New Roman"/>
          <w:sz w:val="26"/>
          <w:szCs w:val="26"/>
        </w:rPr>
        <w:footnoteReference w:id="8"/>
      </w:r>
      <w:r w:rsidRPr="004A18D9">
        <w:rPr>
          <w:rFonts w:ascii="Garamond" w:eastAsia="Times New Roman" w:hAnsi="Garamond" w:cs="Times New Roman"/>
          <w:sz w:val="26"/>
          <w:szCs w:val="26"/>
        </w:rPr>
        <w:t>, and since the law would deem even a voidable-ab-initio marriage as valid unless challenged. But it would fundamentally also create an easy exit route for either party via divorce or annulment.</w:t>
      </w:r>
    </w:p>
    <w:tbl>
      <w:tblPr>
        <w:tblStyle w:val="TableGridLight"/>
        <w:tblW w:w="0" w:type="auto"/>
        <w:tblLook w:val="04A0" w:firstRow="1" w:lastRow="0" w:firstColumn="1" w:lastColumn="0" w:noHBand="0" w:noVBand="1"/>
      </w:tblPr>
      <w:tblGrid>
        <w:gridCol w:w="9016"/>
      </w:tblGrid>
      <w:tr w:rsidR="002B0EAA" w14:paraId="6A38E919" w14:textId="77777777" w:rsidTr="002B0EAA">
        <w:tc>
          <w:tcPr>
            <w:tcW w:w="9016" w:type="dxa"/>
          </w:tcPr>
          <w:p w14:paraId="3776F8F0" w14:textId="094B8B28" w:rsidR="002B0EAA" w:rsidRDefault="002B0EAA" w:rsidP="00880962">
            <w:pPr>
              <w:spacing w:before="240" w:after="240" w:line="360" w:lineRule="auto"/>
              <w:jc w:val="both"/>
              <w:rPr>
                <w:rFonts w:ascii="Garamond" w:eastAsia="Times New Roman" w:hAnsi="Garamond" w:cs="Times New Roman"/>
                <w:sz w:val="26"/>
                <w:szCs w:val="26"/>
              </w:rPr>
            </w:pPr>
            <w:r>
              <w:rPr>
                <w:rFonts w:ascii="Garamond" w:eastAsia="Times New Roman" w:hAnsi="Garamond" w:cs="Times New Roman"/>
                <w:i/>
                <w:iCs/>
                <w:sz w:val="26"/>
                <w:szCs w:val="26"/>
              </w:rPr>
              <w:t xml:space="preserve">Conclusion: </w:t>
            </w:r>
            <w:r w:rsidRPr="004A18D9">
              <w:rPr>
                <w:rFonts w:ascii="Garamond" w:eastAsia="Times New Roman" w:hAnsi="Garamond" w:cs="Times New Roman"/>
                <w:sz w:val="26"/>
                <w:szCs w:val="26"/>
              </w:rPr>
              <w:t xml:space="preserve">It can be therefore deduced, that Hindu Marriage Act does not expressly bar parties on the ground of inability to procreate, rather it is a mutual choice of the both unlike under various tests of essentials of marriage in some of the states of United States (for </w:t>
            </w:r>
            <w:proofErr w:type="spellStart"/>
            <w:r w:rsidRPr="004A18D9">
              <w:rPr>
                <w:rFonts w:ascii="Garamond" w:eastAsia="Times New Roman" w:hAnsi="Garamond" w:cs="Times New Roman"/>
                <w:sz w:val="26"/>
                <w:szCs w:val="26"/>
              </w:rPr>
              <w:t>eg</w:t>
            </w:r>
            <w:proofErr w:type="spellEnd"/>
            <w:r w:rsidRPr="004A18D9">
              <w:rPr>
                <w:rFonts w:ascii="Garamond" w:eastAsia="Times New Roman" w:hAnsi="Garamond" w:cs="Times New Roman"/>
                <w:sz w:val="26"/>
                <w:szCs w:val="26"/>
              </w:rPr>
              <w:t>; Massachusetts) and judgements in furtherance of those essentials affecting solemnization of marriage</w:t>
            </w:r>
            <w:r>
              <w:rPr>
                <w:rStyle w:val="FootnoteReference"/>
                <w:rFonts w:ascii="Garamond" w:eastAsia="Times New Roman" w:hAnsi="Garamond" w:cs="Times New Roman"/>
                <w:sz w:val="26"/>
                <w:szCs w:val="26"/>
              </w:rPr>
              <w:footnoteReference w:id="9"/>
            </w:r>
          </w:p>
        </w:tc>
      </w:tr>
    </w:tbl>
    <w:p w14:paraId="2CB3BAF8" w14:textId="19F88291" w:rsidR="00880962" w:rsidRPr="00070777" w:rsidRDefault="002B0EAA" w:rsidP="00880962">
      <w:pPr>
        <w:pStyle w:val="Heading4"/>
        <w:jc w:val="both"/>
        <w:rPr>
          <w:rFonts w:ascii="Garamond" w:hAnsi="Garamond"/>
          <w:i/>
          <w:iCs/>
          <w:color w:val="auto"/>
          <w:sz w:val="26"/>
          <w:szCs w:val="26"/>
        </w:rPr>
      </w:pPr>
      <w:r>
        <w:rPr>
          <w:rFonts w:ascii="Garamond" w:hAnsi="Garamond"/>
          <w:i/>
          <w:iCs/>
          <w:color w:val="auto"/>
          <w:sz w:val="26"/>
          <w:szCs w:val="26"/>
        </w:rPr>
        <w:t xml:space="preserve">Issue Examined: </w:t>
      </w:r>
      <w:r w:rsidR="00880962" w:rsidRPr="00070777">
        <w:rPr>
          <w:rFonts w:ascii="Garamond" w:hAnsi="Garamond"/>
          <w:i/>
          <w:iCs/>
          <w:color w:val="auto"/>
          <w:sz w:val="26"/>
          <w:szCs w:val="26"/>
        </w:rPr>
        <w:t>Whether Homosexuality would intersect as Condition of Mind that leads person(s) to be unfit for marriage and procreation of children?</w:t>
      </w:r>
    </w:p>
    <w:p w14:paraId="061875F1" w14:textId="77777777" w:rsidR="00880962" w:rsidRPr="00070777" w:rsidRDefault="00880962" w:rsidP="002B0EAA">
      <w:pPr>
        <w:pStyle w:val="Heading5"/>
        <w:jc w:val="center"/>
        <w:rPr>
          <w:rFonts w:ascii="Garamond" w:hAnsi="Garamond"/>
          <w:color w:val="auto"/>
          <w:sz w:val="26"/>
          <w:szCs w:val="26"/>
        </w:rPr>
      </w:pPr>
      <w:r w:rsidRPr="00924C87">
        <w:rPr>
          <w:rFonts w:ascii="Garamond" w:hAnsi="Garamond"/>
          <w:color w:val="auto"/>
          <w:sz w:val="26"/>
          <w:szCs w:val="26"/>
        </w:rPr>
        <w:t>Interplay of Hindu Shastras and Inability to Procreate</w:t>
      </w:r>
    </w:p>
    <w:p w14:paraId="73715AB7" w14:textId="77777777" w:rsidR="00880962" w:rsidRPr="004A18D9" w:rsidRDefault="00880962" w:rsidP="00880962">
      <w:pPr>
        <w:spacing w:before="240" w:after="240" w:line="360" w:lineRule="auto"/>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The codified Hindu law has evolved from the Smritis and </w:t>
      </w:r>
      <w:proofErr w:type="spellStart"/>
      <w:r w:rsidRPr="004A18D9">
        <w:rPr>
          <w:rFonts w:ascii="Garamond" w:eastAsia="Times New Roman" w:hAnsi="Garamond" w:cs="Times New Roman"/>
          <w:sz w:val="26"/>
          <w:szCs w:val="26"/>
        </w:rPr>
        <w:t>Dharmashastras</w:t>
      </w:r>
      <w:proofErr w:type="spellEnd"/>
      <w:r w:rsidRPr="004A18D9">
        <w:rPr>
          <w:rFonts w:ascii="Garamond" w:eastAsia="Times New Roman" w:hAnsi="Garamond" w:cs="Times New Roman"/>
          <w:sz w:val="26"/>
          <w:szCs w:val="26"/>
        </w:rPr>
        <w:t xml:space="preserve"> which are fundamental to the architecture of Hindu Marriage Act.</w:t>
      </w:r>
    </w:p>
    <w:p w14:paraId="5EB21936" w14:textId="77777777" w:rsidR="00880962" w:rsidRPr="004A18D9" w:rsidRDefault="00880962" w:rsidP="00880962">
      <w:pPr>
        <w:spacing w:before="240" w:after="240" w:line="360" w:lineRule="auto"/>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In the matter of procreation of children, Allahabad High Court in Ajay </w:t>
      </w:r>
      <w:proofErr w:type="spellStart"/>
      <w:r w:rsidRPr="004A18D9">
        <w:rPr>
          <w:rFonts w:ascii="Garamond" w:eastAsia="Times New Roman" w:hAnsi="Garamond" w:cs="Times New Roman"/>
          <w:sz w:val="26"/>
          <w:szCs w:val="26"/>
        </w:rPr>
        <w:t>Lavania</w:t>
      </w:r>
      <w:proofErr w:type="spellEnd"/>
      <w:r w:rsidRPr="004A18D9">
        <w:rPr>
          <w:rFonts w:ascii="Garamond" w:eastAsia="Times New Roman" w:hAnsi="Garamond" w:cs="Times New Roman"/>
          <w:sz w:val="26"/>
          <w:szCs w:val="26"/>
        </w:rPr>
        <w:t xml:space="preserve"> v. Smt. Shobna Dubey</w:t>
      </w:r>
      <w:r>
        <w:rPr>
          <w:rStyle w:val="FootnoteReference"/>
          <w:rFonts w:ascii="Garamond" w:eastAsia="Times New Roman" w:hAnsi="Garamond" w:cs="Times New Roman"/>
          <w:sz w:val="26"/>
          <w:szCs w:val="26"/>
        </w:rPr>
        <w:footnoteReference w:id="10"/>
      </w:r>
      <w:r>
        <w:rPr>
          <w:rFonts w:ascii="Garamond" w:eastAsia="Times New Roman" w:hAnsi="Garamond" w:cs="Times New Roman"/>
          <w:sz w:val="26"/>
          <w:szCs w:val="26"/>
        </w:rPr>
        <w:t xml:space="preserve"> </w:t>
      </w:r>
      <w:r w:rsidRPr="004A18D9">
        <w:rPr>
          <w:rFonts w:ascii="Garamond" w:eastAsia="Times New Roman" w:hAnsi="Garamond" w:cs="Times New Roman"/>
          <w:sz w:val="26"/>
          <w:szCs w:val="26"/>
        </w:rPr>
        <w:t>viewed Hindu marriage in light of Ramayana and Mahabharata, whereby the couple through the bests and worsts of life remain together and whereby the purpose of marriage is procreation and continuation of life on earth with a view to uphold social order and have a spiritual union.</w:t>
      </w:r>
    </w:p>
    <w:p w14:paraId="717E1AD6" w14:textId="77777777" w:rsidR="00880962" w:rsidRPr="004A18D9" w:rsidRDefault="00880962" w:rsidP="00880962">
      <w:pPr>
        <w:spacing w:before="240" w:after="240" w:line="360" w:lineRule="auto"/>
        <w:jc w:val="both"/>
        <w:rPr>
          <w:rFonts w:ascii="Garamond" w:eastAsia="Times New Roman" w:hAnsi="Garamond" w:cs="Times New Roman"/>
          <w:sz w:val="26"/>
          <w:szCs w:val="26"/>
        </w:rPr>
      </w:pPr>
      <w:proofErr w:type="spellStart"/>
      <w:r w:rsidRPr="004A18D9">
        <w:rPr>
          <w:rFonts w:ascii="Garamond" w:eastAsia="Times New Roman" w:hAnsi="Garamond" w:cs="Times New Roman"/>
          <w:sz w:val="26"/>
          <w:szCs w:val="26"/>
        </w:rPr>
        <w:t>Manusmriti</w:t>
      </w:r>
      <w:proofErr w:type="spellEnd"/>
      <w:r w:rsidRPr="004A18D9">
        <w:rPr>
          <w:rFonts w:ascii="Garamond" w:eastAsia="Times New Roman" w:hAnsi="Garamond" w:cs="Times New Roman"/>
          <w:sz w:val="26"/>
          <w:szCs w:val="26"/>
        </w:rPr>
        <w:t xml:space="preserve"> (3.21)</w:t>
      </w:r>
      <w:r>
        <w:rPr>
          <w:rStyle w:val="FootnoteReference"/>
          <w:rFonts w:ascii="Garamond" w:eastAsia="Times New Roman" w:hAnsi="Garamond" w:cs="Times New Roman"/>
          <w:sz w:val="26"/>
          <w:szCs w:val="26"/>
        </w:rPr>
        <w:footnoteReference w:id="11"/>
      </w:r>
      <w:hyperlink r:id="rId12" w:anchor="_ftn6"/>
      <w:r w:rsidRPr="004A18D9">
        <w:rPr>
          <w:rFonts w:ascii="Garamond" w:eastAsia="Times New Roman" w:hAnsi="Garamond" w:cs="Times New Roman"/>
          <w:sz w:val="26"/>
          <w:szCs w:val="26"/>
        </w:rPr>
        <w:t xml:space="preserve"> mentions eight types of marriages, one of them being </w:t>
      </w:r>
      <w:proofErr w:type="spellStart"/>
      <w:r w:rsidRPr="004A18D9">
        <w:rPr>
          <w:rFonts w:ascii="Garamond" w:eastAsia="Times New Roman" w:hAnsi="Garamond" w:cs="Times New Roman"/>
          <w:b/>
          <w:sz w:val="26"/>
          <w:szCs w:val="26"/>
        </w:rPr>
        <w:t>Prajapatya</w:t>
      </w:r>
      <w:proofErr w:type="spellEnd"/>
      <w:r>
        <w:rPr>
          <w:rStyle w:val="FootnoteReference"/>
          <w:rFonts w:ascii="Garamond" w:eastAsia="Times New Roman" w:hAnsi="Garamond" w:cs="Times New Roman"/>
          <w:b/>
          <w:sz w:val="26"/>
          <w:szCs w:val="26"/>
        </w:rPr>
        <w:footnoteReference w:id="12"/>
      </w:r>
      <w:r w:rsidRPr="004A18D9">
        <w:rPr>
          <w:rFonts w:ascii="Garamond" w:eastAsia="Times New Roman" w:hAnsi="Garamond" w:cs="Times New Roman"/>
          <w:sz w:val="26"/>
          <w:szCs w:val="26"/>
        </w:rPr>
        <w:t xml:space="preserve"> where menarche is fundamental i.e., the emphasis is on the procreation and continuation of progeny.</w:t>
      </w:r>
    </w:p>
    <w:p w14:paraId="0DD86501" w14:textId="77777777" w:rsidR="00880962" w:rsidRPr="004A18D9" w:rsidRDefault="00880962" w:rsidP="00880962">
      <w:pPr>
        <w:spacing w:before="240" w:after="240" w:line="360" w:lineRule="auto"/>
        <w:jc w:val="both"/>
        <w:rPr>
          <w:rFonts w:ascii="Garamond" w:eastAsia="Times New Roman" w:hAnsi="Garamond" w:cs="Times New Roman"/>
          <w:sz w:val="26"/>
          <w:szCs w:val="26"/>
        </w:rPr>
      </w:pPr>
      <w:proofErr w:type="spellStart"/>
      <w:r w:rsidRPr="004A18D9">
        <w:rPr>
          <w:rFonts w:ascii="Garamond" w:eastAsia="Times New Roman" w:hAnsi="Garamond" w:cs="Times New Roman"/>
          <w:sz w:val="26"/>
          <w:szCs w:val="26"/>
        </w:rPr>
        <w:t>Chandogya</w:t>
      </w:r>
      <w:proofErr w:type="spellEnd"/>
      <w:r w:rsidRPr="004A18D9">
        <w:rPr>
          <w:rFonts w:ascii="Garamond" w:eastAsia="Times New Roman" w:hAnsi="Garamond" w:cs="Times New Roman"/>
          <w:sz w:val="26"/>
          <w:szCs w:val="26"/>
        </w:rPr>
        <w:t xml:space="preserve"> Upanishad provides for </w:t>
      </w:r>
      <w:proofErr w:type="spellStart"/>
      <w:r w:rsidRPr="004A18D9">
        <w:rPr>
          <w:rFonts w:ascii="Garamond" w:eastAsia="Times New Roman" w:hAnsi="Garamond" w:cs="Times New Roman"/>
          <w:sz w:val="26"/>
          <w:szCs w:val="26"/>
        </w:rPr>
        <w:t>Chaturashrama</w:t>
      </w:r>
      <w:proofErr w:type="spellEnd"/>
      <w:r w:rsidRPr="004A18D9">
        <w:rPr>
          <w:rFonts w:ascii="Garamond" w:eastAsia="Times New Roman" w:hAnsi="Garamond" w:cs="Times New Roman"/>
          <w:sz w:val="26"/>
          <w:szCs w:val="26"/>
        </w:rPr>
        <w:t xml:space="preserve"> system</w:t>
      </w:r>
      <w:r>
        <w:rPr>
          <w:rStyle w:val="FootnoteReference"/>
          <w:rFonts w:ascii="Garamond" w:eastAsia="Times New Roman" w:hAnsi="Garamond" w:cs="Times New Roman"/>
          <w:sz w:val="26"/>
          <w:szCs w:val="26"/>
        </w:rPr>
        <w:footnoteReference w:id="13"/>
      </w:r>
      <w:r w:rsidRPr="004A18D9">
        <w:rPr>
          <w:rFonts w:ascii="Garamond" w:eastAsia="Times New Roman" w:hAnsi="Garamond" w:cs="Times New Roman"/>
          <w:sz w:val="26"/>
          <w:szCs w:val="26"/>
        </w:rPr>
        <w:t xml:space="preserve">, which includes the four stages, mainly Dharma, </w:t>
      </w:r>
      <w:proofErr w:type="spellStart"/>
      <w:r w:rsidRPr="004A18D9">
        <w:rPr>
          <w:rFonts w:ascii="Garamond" w:eastAsia="Times New Roman" w:hAnsi="Garamond" w:cs="Times New Roman"/>
          <w:sz w:val="26"/>
          <w:szCs w:val="26"/>
        </w:rPr>
        <w:t>Artha</w:t>
      </w:r>
      <w:proofErr w:type="spellEnd"/>
      <w:r w:rsidRPr="004A18D9">
        <w:rPr>
          <w:rFonts w:ascii="Garamond" w:eastAsia="Times New Roman" w:hAnsi="Garamond" w:cs="Times New Roman"/>
          <w:sz w:val="26"/>
          <w:szCs w:val="26"/>
        </w:rPr>
        <w:t xml:space="preserve">, Kama and Moksha, the same is also accepted by </w:t>
      </w:r>
      <w:proofErr w:type="spellStart"/>
      <w:r w:rsidRPr="004A18D9">
        <w:rPr>
          <w:rFonts w:ascii="Garamond" w:eastAsia="Times New Roman" w:hAnsi="Garamond" w:cs="Times New Roman"/>
          <w:sz w:val="26"/>
          <w:szCs w:val="26"/>
        </w:rPr>
        <w:t>Manusmriti</w:t>
      </w:r>
      <w:proofErr w:type="spellEnd"/>
      <w:r w:rsidRPr="004A18D9">
        <w:rPr>
          <w:rFonts w:ascii="Garamond" w:eastAsia="Times New Roman" w:hAnsi="Garamond" w:cs="Times New Roman"/>
          <w:sz w:val="26"/>
          <w:szCs w:val="26"/>
        </w:rPr>
        <w:t xml:space="preserve"> vide section VI.87 to VI.90</w:t>
      </w:r>
      <w:r>
        <w:rPr>
          <w:rStyle w:val="FootnoteReference"/>
          <w:rFonts w:ascii="Garamond" w:eastAsia="Times New Roman" w:hAnsi="Garamond" w:cs="Times New Roman"/>
          <w:sz w:val="26"/>
          <w:szCs w:val="26"/>
        </w:rPr>
        <w:footnoteReference w:id="14"/>
      </w:r>
      <w:r w:rsidRPr="004A18D9">
        <w:rPr>
          <w:rFonts w:ascii="Garamond" w:eastAsia="Times New Roman" w:hAnsi="Garamond" w:cs="Times New Roman"/>
          <w:sz w:val="26"/>
          <w:szCs w:val="26"/>
        </w:rPr>
        <w:t xml:space="preserve"> and in book 3 of </w:t>
      </w:r>
      <w:proofErr w:type="spellStart"/>
      <w:r w:rsidRPr="004A18D9">
        <w:rPr>
          <w:rFonts w:ascii="Garamond" w:eastAsia="Times New Roman" w:hAnsi="Garamond" w:cs="Times New Roman"/>
          <w:sz w:val="26"/>
          <w:szCs w:val="26"/>
        </w:rPr>
        <w:t>Vishnupurana</w:t>
      </w:r>
      <w:proofErr w:type="spellEnd"/>
      <w:r>
        <w:rPr>
          <w:rStyle w:val="FootnoteReference"/>
          <w:rFonts w:ascii="Garamond" w:eastAsia="Times New Roman" w:hAnsi="Garamond" w:cs="Times New Roman"/>
          <w:sz w:val="26"/>
          <w:szCs w:val="26"/>
        </w:rPr>
        <w:footnoteReference w:id="15"/>
      </w:r>
      <w:r w:rsidRPr="004A18D9">
        <w:rPr>
          <w:rFonts w:ascii="Garamond" w:eastAsia="Times New Roman" w:hAnsi="Garamond" w:cs="Times New Roman"/>
          <w:sz w:val="26"/>
          <w:szCs w:val="26"/>
        </w:rPr>
        <w:t xml:space="preserve">. Grihastha </w:t>
      </w:r>
      <w:proofErr w:type="spellStart"/>
      <w:r w:rsidRPr="004A18D9">
        <w:rPr>
          <w:rFonts w:ascii="Garamond" w:eastAsia="Times New Roman" w:hAnsi="Garamond" w:cs="Times New Roman"/>
          <w:sz w:val="26"/>
          <w:szCs w:val="26"/>
        </w:rPr>
        <w:t>Asharam</w:t>
      </w:r>
      <w:proofErr w:type="spellEnd"/>
      <w:r w:rsidRPr="004A18D9">
        <w:rPr>
          <w:rFonts w:ascii="Garamond" w:eastAsia="Times New Roman" w:hAnsi="Garamond" w:cs="Times New Roman"/>
          <w:sz w:val="26"/>
          <w:szCs w:val="26"/>
        </w:rPr>
        <w:t xml:space="preserve"> further </w:t>
      </w:r>
      <w:proofErr w:type="gramStart"/>
      <w:r w:rsidRPr="004A18D9">
        <w:rPr>
          <w:rFonts w:ascii="Garamond" w:eastAsia="Times New Roman" w:hAnsi="Garamond" w:cs="Times New Roman"/>
          <w:sz w:val="26"/>
          <w:szCs w:val="26"/>
        </w:rPr>
        <w:lastRenderedPageBreak/>
        <w:t>find</w:t>
      </w:r>
      <w:proofErr w:type="gramEnd"/>
      <w:r w:rsidRPr="004A18D9">
        <w:rPr>
          <w:rFonts w:ascii="Garamond" w:eastAsia="Times New Roman" w:hAnsi="Garamond" w:cs="Times New Roman"/>
          <w:sz w:val="26"/>
          <w:szCs w:val="26"/>
        </w:rPr>
        <w:t xml:space="preserve"> its essence and duties through </w:t>
      </w:r>
      <w:proofErr w:type="spellStart"/>
      <w:r w:rsidRPr="004A18D9">
        <w:rPr>
          <w:rFonts w:ascii="Garamond" w:eastAsia="Times New Roman" w:hAnsi="Garamond" w:cs="Times New Roman"/>
          <w:sz w:val="26"/>
          <w:szCs w:val="26"/>
        </w:rPr>
        <w:t>Adiparva</w:t>
      </w:r>
      <w:proofErr w:type="spellEnd"/>
      <w:r w:rsidRPr="004A18D9">
        <w:rPr>
          <w:rFonts w:ascii="Garamond" w:eastAsia="Times New Roman" w:hAnsi="Garamond" w:cs="Times New Roman"/>
          <w:sz w:val="26"/>
          <w:szCs w:val="26"/>
        </w:rPr>
        <w:t xml:space="preserve"> of Mahabharata where all of the texts indicate householders to be </w:t>
      </w:r>
      <w:r w:rsidRPr="004A18D9">
        <w:rPr>
          <w:rFonts w:ascii="Garamond" w:eastAsia="Times New Roman" w:hAnsi="Garamond" w:cs="Times New Roman"/>
          <w:b/>
          <w:sz w:val="26"/>
          <w:szCs w:val="26"/>
        </w:rPr>
        <w:t>progenitors of mankind with progeny</w:t>
      </w:r>
      <w:r>
        <w:rPr>
          <w:rStyle w:val="FootnoteReference"/>
          <w:rFonts w:ascii="Garamond" w:eastAsia="Times New Roman" w:hAnsi="Garamond" w:cs="Times New Roman"/>
          <w:b/>
          <w:sz w:val="26"/>
          <w:szCs w:val="26"/>
        </w:rPr>
        <w:footnoteReference w:id="16"/>
      </w:r>
    </w:p>
    <w:p w14:paraId="41A78226" w14:textId="0A150C85" w:rsidR="00880962" w:rsidRDefault="00880962" w:rsidP="00880962">
      <w:pPr>
        <w:spacing w:before="240" w:after="240" w:line="360" w:lineRule="auto"/>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Since the procreation is </w:t>
      </w:r>
      <w:r w:rsidRPr="004A18D9">
        <w:rPr>
          <w:rFonts w:ascii="Garamond" w:eastAsia="Times New Roman" w:hAnsi="Garamond" w:cs="Times New Roman"/>
          <w:i/>
          <w:sz w:val="26"/>
          <w:szCs w:val="26"/>
        </w:rPr>
        <w:t>Res Integra</w:t>
      </w:r>
      <w:r w:rsidRPr="004A18D9">
        <w:rPr>
          <w:rFonts w:ascii="Garamond" w:eastAsia="Times New Roman" w:hAnsi="Garamond" w:cs="Times New Roman"/>
          <w:sz w:val="26"/>
          <w:szCs w:val="26"/>
        </w:rPr>
        <w:t xml:space="preserve">, the clarity if found by the courts in Hindu </w:t>
      </w:r>
      <w:proofErr w:type="spellStart"/>
      <w:r w:rsidRPr="004A18D9">
        <w:rPr>
          <w:rFonts w:ascii="Garamond" w:eastAsia="Times New Roman" w:hAnsi="Garamond" w:cs="Times New Roman"/>
          <w:sz w:val="26"/>
          <w:szCs w:val="26"/>
        </w:rPr>
        <w:t>Dharmashastras</w:t>
      </w:r>
      <w:proofErr w:type="spellEnd"/>
      <w:r w:rsidRPr="004A18D9">
        <w:rPr>
          <w:rFonts w:ascii="Garamond" w:eastAsia="Times New Roman" w:hAnsi="Garamond" w:cs="Times New Roman"/>
          <w:sz w:val="26"/>
          <w:szCs w:val="26"/>
        </w:rPr>
        <w:t xml:space="preserve"> in absence of that of law, it would lead to a fundamental violation of the purpose of marriage as an institution.</w:t>
      </w:r>
    </w:p>
    <w:tbl>
      <w:tblPr>
        <w:tblStyle w:val="TableGridLight"/>
        <w:tblW w:w="0" w:type="auto"/>
        <w:tblLook w:val="04A0" w:firstRow="1" w:lastRow="0" w:firstColumn="1" w:lastColumn="0" w:noHBand="0" w:noVBand="1"/>
      </w:tblPr>
      <w:tblGrid>
        <w:gridCol w:w="9016"/>
      </w:tblGrid>
      <w:tr w:rsidR="00924C87" w14:paraId="57FE5977" w14:textId="77777777" w:rsidTr="00924C87">
        <w:tc>
          <w:tcPr>
            <w:tcW w:w="9016" w:type="dxa"/>
          </w:tcPr>
          <w:p w14:paraId="0D88E679" w14:textId="1BA1A251" w:rsidR="00924C87" w:rsidRPr="00924C87" w:rsidRDefault="00924C87" w:rsidP="00880962">
            <w:pPr>
              <w:spacing w:before="240" w:after="240" w:line="360" w:lineRule="auto"/>
              <w:jc w:val="both"/>
            </w:pPr>
            <w:r>
              <w:rPr>
                <w:rFonts w:ascii="Garamond" w:eastAsia="Times New Roman" w:hAnsi="Garamond" w:cs="Times New Roman"/>
                <w:i/>
                <w:iCs/>
                <w:sz w:val="26"/>
                <w:szCs w:val="26"/>
              </w:rPr>
              <w:t xml:space="preserve">Conclusion: </w:t>
            </w:r>
            <w:r>
              <w:rPr>
                <w:rFonts w:ascii="Garamond" w:eastAsia="Times New Roman" w:hAnsi="Garamond" w:cs="Times New Roman"/>
                <w:sz w:val="26"/>
                <w:szCs w:val="26"/>
              </w:rPr>
              <w:t xml:space="preserve">As per </w:t>
            </w:r>
            <w:proofErr w:type="spellStart"/>
            <w:r>
              <w:rPr>
                <w:rFonts w:ascii="Garamond" w:eastAsia="Times New Roman" w:hAnsi="Garamond" w:cs="Times New Roman"/>
                <w:sz w:val="26"/>
                <w:szCs w:val="26"/>
              </w:rPr>
              <w:t>Shastric</w:t>
            </w:r>
            <w:proofErr w:type="spellEnd"/>
            <w:r>
              <w:rPr>
                <w:rFonts w:ascii="Garamond" w:eastAsia="Times New Roman" w:hAnsi="Garamond" w:cs="Times New Roman"/>
                <w:sz w:val="26"/>
                <w:szCs w:val="26"/>
              </w:rPr>
              <w:t xml:space="preserve"> Law (along with its reference in various High Court Judgements), </w:t>
            </w:r>
            <w:r>
              <w:rPr>
                <w:rFonts w:ascii="Garamond" w:eastAsia="Times New Roman" w:hAnsi="Garamond" w:cs="Times New Roman"/>
                <w:b/>
                <w:bCs/>
                <w:sz w:val="26"/>
                <w:szCs w:val="26"/>
              </w:rPr>
              <w:t xml:space="preserve">giving birth to child </w:t>
            </w:r>
            <w:r w:rsidR="0012573E">
              <w:rPr>
                <w:rFonts w:ascii="Garamond" w:eastAsia="Times New Roman" w:hAnsi="Garamond" w:cs="Times New Roman"/>
                <w:sz w:val="26"/>
                <w:szCs w:val="26"/>
              </w:rPr>
              <w:t xml:space="preserve">is one of the most essential </w:t>
            </w:r>
            <w:proofErr w:type="gramStart"/>
            <w:r w:rsidR="0012573E">
              <w:rPr>
                <w:rFonts w:ascii="Garamond" w:eastAsia="Times New Roman" w:hAnsi="Garamond" w:cs="Times New Roman"/>
                <w:sz w:val="26"/>
                <w:szCs w:val="26"/>
              </w:rPr>
              <w:t>part</w:t>
            </w:r>
            <w:proofErr w:type="gramEnd"/>
            <w:r w:rsidR="0012573E">
              <w:rPr>
                <w:rFonts w:ascii="Garamond" w:eastAsia="Times New Roman" w:hAnsi="Garamond" w:cs="Times New Roman"/>
                <w:sz w:val="26"/>
                <w:szCs w:val="26"/>
              </w:rPr>
              <w:t xml:space="preserve"> of marriage, and the act cannot be said to have imagined such a marriage where parties are incompetent for </w:t>
            </w:r>
            <w:proofErr w:type="spellStart"/>
            <w:r w:rsidR="0012573E">
              <w:rPr>
                <w:rFonts w:ascii="Garamond" w:eastAsia="Times New Roman" w:hAnsi="Garamond" w:cs="Times New Roman"/>
                <w:sz w:val="26"/>
                <w:szCs w:val="26"/>
              </w:rPr>
              <w:t>progengy</w:t>
            </w:r>
            <w:proofErr w:type="spellEnd"/>
            <w:r w:rsidR="0012573E">
              <w:rPr>
                <w:rFonts w:ascii="Garamond" w:eastAsia="Times New Roman" w:hAnsi="Garamond" w:cs="Times New Roman"/>
                <w:sz w:val="26"/>
                <w:szCs w:val="26"/>
              </w:rPr>
              <w:t>.</w:t>
            </w:r>
          </w:p>
        </w:tc>
      </w:tr>
    </w:tbl>
    <w:p w14:paraId="5238BAC7" w14:textId="77777777" w:rsidR="00880962" w:rsidRPr="00070777" w:rsidRDefault="00880962" w:rsidP="00880962">
      <w:pPr>
        <w:pStyle w:val="Heading5"/>
        <w:jc w:val="both"/>
        <w:rPr>
          <w:rFonts w:ascii="Garamond" w:hAnsi="Garamond"/>
          <w:i/>
          <w:iCs/>
          <w:color w:val="auto"/>
          <w:sz w:val="26"/>
          <w:szCs w:val="26"/>
        </w:rPr>
      </w:pPr>
      <w:r w:rsidRPr="00070777">
        <w:rPr>
          <w:rFonts w:ascii="Garamond" w:hAnsi="Garamond"/>
          <w:i/>
          <w:iCs/>
          <w:color w:val="auto"/>
          <w:sz w:val="26"/>
          <w:szCs w:val="26"/>
        </w:rPr>
        <w:t>Discretion of Courts in Interpretation of Mental Condition of Same Sex Couple(s) in light of inability to reproduce</w:t>
      </w:r>
    </w:p>
    <w:p w14:paraId="65624F5D" w14:textId="77777777" w:rsidR="00880962" w:rsidRPr="004A18D9" w:rsidRDefault="00880962" w:rsidP="00880962">
      <w:pPr>
        <w:spacing w:before="240" w:after="240" w:line="360" w:lineRule="auto"/>
        <w:jc w:val="both"/>
        <w:rPr>
          <w:rFonts w:ascii="Garamond" w:eastAsia="Times New Roman" w:hAnsi="Garamond" w:cs="Times New Roman"/>
          <w:color w:val="1155CC"/>
          <w:sz w:val="26"/>
          <w:szCs w:val="26"/>
          <w:u w:val="single"/>
        </w:rPr>
      </w:pPr>
      <w:r w:rsidRPr="004A18D9">
        <w:rPr>
          <w:rFonts w:ascii="Garamond" w:eastAsia="Times New Roman" w:hAnsi="Garamond" w:cs="Times New Roman"/>
          <w:sz w:val="26"/>
          <w:szCs w:val="26"/>
        </w:rPr>
        <w:t>The expression, mental disorder has not been defined in Section 5 of the act, but aid can be taken of the provisions of Section 13 (1) (iii) read with explanation (a) of the Act which provides for mental disorders of specified types as good grounds for a decree of divorce</w:t>
      </w:r>
      <w:r>
        <w:rPr>
          <w:rStyle w:val="FootnoteReference"/>
          <w:rFonts w:ascii="Garamond" w:eastAsia="Times New Roman" w:hAnsi="Garamond" w:cs="Times New Roman"/>
          <w:sz w:val="26"/>
          <w:szCs w:val="26"/>
        </w:rPr>
        <w:footnoteReference w:id="17"/>
      </w:r>
    </w:p>
    <w:p w14:paraId="078B9248" w14:textId="48F376EA" w:rsidR="00880962" w:rsidRPr="004A18D9" w:rsidRDefault="00880962" w:rsidP="00880962">
      <w:pPr>
        <w:spacing w:before="240" w:after="240" w:line="360" w:lineRule="auto"/>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The entire expression </w:t>
      </w:r>
      <w:r w:rsidRPr="004A18D9">
        <w:rPr>
          <w:rFonts w:ascii="Garamond" w:eastAsia="Times New Roman" w:hAnsi="Garamond" w:cs="Times New Roman"/>
          <w:b/>
          <w:sz w:val="26"/>
          <w:szCs w:val="26"/>
        </w:rPr>
        <w:t>mental disorder</w:t>
      </w:r>
      <w:r w:rsidRPr="004A18D9">
        <w:rPr>
          <w:rFonts w:ascii="Garamond" w:eastAsia="Times New Roman" w:hAnsi="Garamond" w:cs="Times New Roman"/>
          <w:sz w:val="26"/>
          <w:szCs w:val="26"/>
        </w:rPr>
        <w:t xml:space="preserve"> of such a kind or to such an extent as to be unfit for marriage and for procreation of children, therefore, conveys that if one of the </w:t>
      </w:r>
      <w:proofErr w:type="gramStart"/>
      <w:r w:rsidRPr="004A18D9">
        <w:rPr>
          <w:rFonts w:ascii="Garamond" w:eastAsia="Times New Roman" w:hAnsi="Garamond" w:cs="Times New Roman"/>
          <w:sz w:val="26"/>
          <w:szCs w:val="26"/>
        </w:rPr>
        <w:t>spo</w:t>
      </w:r>
      <w:r w:rsidR="00924C87">
        <w:rPr>
          <w:rFonts w:ascii="Garamond" w:eastAsia="Times New Roman" w:hAnsi="Garamond" w:cs="Times New Roman"/>
          <w:sz w:val="26"/>
          <w:szCs w:val="26"/>
        </w:rPr>
        <w:t>u</w:t>
      </w:r>
      <w:r w:rsidRPr="004A18D9">
        <w:rPr>
          <w:rFonts w:ascii="Garamond" w:eastAsia="Times New Roman" w:hAnsi="Garamond" w:cs="Times New Roman"/>
          <w:sz w:val="26"/>
          <w:szCs w:val="26"/>
        </w:rPr>
        <w:t>se</w:t>
      </w:r>
      <w:proofErr w:type="gramEnd"/>
      <w:r w:rsidR="00924C87">
        <w:rPr>
          <w:rFonts w:ascii="Garamond" w:eastAsia="Times New Roman" w:hAnsi="Garamond" w:cs="Times New Roman"/>
          <w:sz w:val="26"/>
          <w:szCs w:val="26"/>
        </w:rPr>
        <w:t xml:space="preserve"> </w:t>
      </w:r>
      <w:r w:rsidRPr="004A18D9">
        <w:rPr>
          <w:rFonts w:ascii="Garamond" w:eastAsia="Times New Roman" w:hAnsi="Garamond" w:cs="Times New Roman"/>
          <w:sz w:val="26"/>
          <w:szCs w:val="26"/>
        </w:rPr>
        <w:t>suffers from such mental disorder which renders him or her unfit for procreation.</w:t>
      </w:r>
    </w:p>
    <w:p w14:paraId="1077926D" w14:textId="77777777" w:rsidR="00880962" w:rsidRPr="004A18D9" w:rsidRDefault="00880962" w:rsidP="00880962">
      <w:pPr>
        <w:spacing w:before="240" w:after="240" w:line="360" w:lineRule="auto"/>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The primary question that raises in terms of discretion of court would be whether being </w:t>
      </w:r>
      <w:r w:rsidRPr="004A18D9">
        <w:rPr>
          <w:rFonts w:ascii="Garamond" w:eastAsia="Times New Roman" w:hAnsi="Garamond" w:cs="Times New Roman"/>
          <w:b/>
          <w:sz w:val="26"/>
          <w:szCs w:val="26"/>
        </w:rPr>
        <w:t>homosexual</w:t>
      </w:r>
      <w:r w:rsidRPr="004A18D9">
        <w:rPr>
          <w:rFonts w:ascii="Garamond" w:eastAsia="Times New Roman" w:hAnsi="Garamond" w:cs="Times New Roman"/>
          <w:sz w:val="26"/>
          <w:szCs w:val="26"/>
        </w:rPr>
        <w:t xml:space="preserve"> would be deemed as a mental disorder. Further, the secondary question of law would arise where both the parties (if) are deemed to be of mental disorder, whether such marriage would be valid?</w:t>
      </w:r>
    </w:p>
    <w:p w14:paraId="563910E6" w14:textId="77777777" w:rsidR="00880962" w:rsidRPr="004A18D9" w:rsidRDefault="00880962" w:rsidP="00880962">
      <w:pPr>
        <w:spacing w:before="240" w:after="240" w:line="360" w:lineRule="auto"/>
        <w:jc w:val="both"/>
        <w:rPr>
          <w:rFonts w:ascii="Garamond" w:eastAsia="Times New Roman" w:hAnsi="Garamond" w:cs="Times New Roman"/>
          <w:sz w:val="26"/>
          <w:szCs w:val="26"/>
        </w:rPr>
      </w:pPr>
      <w:r w:rsidRPr="004A18D9">
        <w:rPr>
          <w:rFonts w:ascii="Garamond" w:eastAsia="Times New Roman" w:hAnsi="Garamond" w:cs="Times New Roman"/>
          <w:sz w:val="26"/>
          <w:szCs w:val="26"/>
        </w:rPr>
        <w:t>The multi-faceted question of mental disorder vis-à-vis homosexuality can be inferred from a dual perspective:</w:t>
      </w:r>
    </w:p>
    <w:p w14:paraId="664A3553" w14:textId="77777777" w:rsidR="00880962" w:rsidRPr="004A18D9" w:rsidRDefault="00880962" w:rsidP="00880962">
      <w:pPr>
        <w:spacing w:before="240" w:after="240" w:line="360" w:lineRule="auto"/>
        <w:ind w:left="360"/>
        <w:jc w:val="both"/>
        <w:rPr>
          <w:rFonts w:ascii="Garamond" w:eastAsia="Times New Roman" w:hAnsi="Garamond" w:cs="Times New Roman"/>
          <w:sz w:val="26"/>
          <w:szCs w:val="26"/>
        </w:rPr>
      </w:pPr>
      <w:r w:rsidRPr="004A18D9">
        <w:rPr>
          <w:rFonts w:ascii="Garamond" w:eastAsia="Times New Roman" w:hAnsi="Garamond" w:cs="Times New Roman"/>
          <w:sz w:val="26"/>
          <w:szCs w:val="26"/>
        </w:rPr>
        <w:t>a.      Decoding the term ‘Mental Disorder’ in light of Section 13 (1) (iii)</w:t>
      </w:r>
    </w:p>
    <w:p w14:paraId="47EC8EF6" w14:textId="77777777" w:rsidR="00880962" w:rsidRPr="004A18D9" w:rsidRDefault="00880962" w:rsidP="00880962">
      <w:pPr>
        <w:spacing w:before="240" w:after="240" w:line="360" w:lineRule="auto"/>
        <w:ind w:left="360"/>
        <w:jc w:val="both"/>
        <w:rPr>
          <w:rFonts w:ascii="Garamond" w:eastAsia="Times New Roman" w:hAnsi="Garamond" w:cs="Times New Roman"/>
          <w:sz w:val="26"/>
          <w:szCs w:val="26"/>
        </w:rPr>
      </w:pPr>
      <w:r w:rsidRPr="004A18D9">
        <w:rPr>
          <w:rFonts w:ascii="Garamond" w:eastAsia="Times New Roman" w:hAnsi="Garamond" w:cs="Times New Roman"/>
          <w:sz w:val="26"/>
          <w:szCs w:val="26"/>
        </w:rPr>
        <w:t>b.     Scientific Approach towards understanding Homosexuality and its impact on mental/neurological condition of parties.</w:t>
      </w:r>
    </w:p>
    <w:p w14:paraId="59355D17" w14:textId="77777777" w:rsidR="00880962" w:rsidRPr="004A18D9" w:rsidRDefault="00880962" w:rsidP="00880962">
      <w:pPr>
        <w:spacing w:before="240" w:after="240" w:line="360" w:lineRule="auto"/>
        <w:ind w:left="360"/>
        <w:jc w:val="both"/>
        <w:rPr>
          <w:rFonts w:ascii="Garamond" w:eastAsia="Times New Roman" w:hAnsi="Garamond" w:cs="Times New Roman"/>
          <w:sz w:val="26"/>
          <w:szCs w:val="26"/>
        </w:rPr>
      </w:pPr>
      <w:r w:rsidRPr="004A18D9">
        <w:rPr>
          <w:rFonts w:ascii="Garamond" w:eastAsia="Times New Roman" w:hAnsi="Garamond" w:cs="Times New Roman"/>
          <w:sz w:val="26"/>
          <w:szCs w:val="26"/>
        </w:rPr>
        <w:t>Globally most of the psychiatric and medical associations have held that homosexuality is a normal variant of human sexual orientation</w:t>
      </w:r>
      <w:r>
        <w:rPr>
          <w:rStyle w:val="FootnoteReference"/>
          <w:rFonts w:ascii="Garamond" w:eastAsia="Times New Roman" w:hAnsi="Garamond" w:cs="Times New Roman"/>
          <w:sz w:val="26"/>
          <w:szCs w:val="26"/>
        </w:rPr>
        <w:footnoteReference w:id="18"/>
      </w:r>
      <w:r w:rsidRPr="004A18D9">
        <w:rPr>
          <w:rFonts w:ascii="Garamond" w:eastAsia="Times New Roman" w:hAnsi="Garamond" w:cs="Times New Roman"/>
          <w:sz w:val="26"/>
          <w:szCs w:val="26"/>
        </w:rPr>
        <w:t>, in section 377 case</w:t>
      </w:r>
      <w:r>
        <w:rPr>
          <w:rStyle w:val="FootnoteReference"/>
          <w:rFonts w:ascii="Garamond" w:eastAsia="Times New Roman" w:hAnsi="Garamond" w:cs="Times New Roman"/>
          <w:sz w:val="26"/>
          <w:szCs w:val="26"/>
        </w:rPr>
        <w:footnoteReference w:id="19"/>
      </w:r>
      <w:r w:rsidRPr="004A18D9">
        <w:rPr>
          <w:rFonts w:ascii="Garamond" w:eastAsia="Times New Roman" w:hAnsi="Garamond" w:cs="Times New Roman"/>
          <w:sz w:val="26"/>
          <w:szCs w:val="26"/>
        </w:rPr>
        <w:t xml:space="preserve">, Justice DY </w:t>
      </w:r>
      <w:proofErr w:type="spellStart"/>
      <w:r w:rsidRPr="004A18D9">
        <w:rPr>
          <w:rFonts w:ascii="Garamond" w:eastAsia="Times New Roman" w:hAnsi="Garamond" w:cs="Times New Roman"/>
          <w:sz w:val="26"/>
          <w:szCs w:val="26"/>
        </w:rPr>
        <w:lastRenderedPageBreak/>
        <w:t>Chandrachud</w:t>
      </w:r>
      <w:proofErr w:type="spellEnd"/>
      <w:r w:rsidRPr="004A18D9">
        <w:rPr>
          <w:rFonts w:ascii="Garamond" w:eastAsia="Times New Roman" w:hAnsi="Garamond" w:cs="Times New Roman"/>
          <w:sz w:val="26"/>
          <w:szCs w:val="26"/>
        </w:rPr>
        <w:t xml:space="preserve"> noted that homosexuality is documented in 1500 species and not unique to humans. </w:t>
      </w:r>
    </w:p>
    <w:p w14:paraId="6F412082" w14:textId="77777777" w:rsidR="00880962" w:rsidRPr="004A18D9" w:rsidRDefault="00880962" w:rsidP="00880962">
      <w:pPr>
        <w:spacing w:before="240" w:after="240" w:line="360" w:lineRule="auto"/>
        <w:ind w:left="360"/>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(Authors contend and disagree with the reasoning of Supreme Court. The brain, psychological and neurological conditions of any species cannot be scalarly compared. Human brain and biology </w:t>
      </w:r>
      <w:proofErr w:type="gramStart"/>
      <w:r w:rsidRPr="004A18D9">
        <w:rPr>
          <w:rFonts w:ascii="Garamond" w:eastAsia="Times New Roman" w:hAnsi="Garamond" w:cs="Times New Roman"/>
          <w:sz w:val="26"/>
          <w:szCs w:val="26"/>
        </w:rPr>
        <w:t>is</w:t>
      </w:r>
      <w:proofErr w:type="gramEnd"/>
      <w:r w:rsidRPr="004A18D9">
        <w:rPr>
          <w:rFonts w:ascii="Garamond" w:eastAsia="Times New Roman" w:hAnsi="Garamond" w:cs="Times New Roman"/>
          <w:sz w:val="26"/>
          <w:szCs w:val="26"/>
        </w:rPr>
        <w:t xml:space="preserve"> at the highest hierarchy of species, for instance, the Case of Australian Green Beetles can be referred, where Australia banned sea green colour of beer bottle similar to that of beetles, reason being, the endangered species, used to get attracted to the bottle thinking it to be of its own species and in attempt of intercourse used to die </w:t>
      </w:r>
      <w:proofErr w:type="spellStart"/>
      <w:r w:rsidRPr="004A18D9">
        <w:rPr>
          <w:rFonts w:ascii="Garamond" w:eastAsia="Times New Roman" w:hAnsi="Garamond" w:cs="Times New Roman"/>
          <w:sz w:val="26"/>
          <w:szCs w:val="26"/>
        </w:rPr>
        <w:t>enmasse</w:t>
      </w:r>
      <w:proofErr w:type="spellEnd"/>
      <w:r w:rsidRPr="004A18D9">
        <w:rPr>
          <w:rFonts w:ascii="Garamond" w:eastAsia="Times New Roman" w:hAnsi="Garamond" w:cs="Times New Roman"/>
          <w:sz w:val="26"/>
          <w:szCs w:val="26"/>
        </w:rPr>
        <w:t>. This shows that not only species have lack of intelligence to differentiate, but they might be not only inclined towards same sex rather even beyond their own species, because they are not in position to make any such differentiation.)</w:t>
      </w:r>
      <w:r>
        <w:rPr>
          <w:rStyle w:val="FootnoteReference"/>
          <w:rFonts w:ascii="Garamond" w:eastAsia="Times New Roman" w:hAnsi="Garamond" w:cs="Times New Roman"/>
          <w:sz w:val="26"/>
          <w:szCs w:val="26"/>
        </w:rPr>
        <w:footnoteReference w:id="20"/>
      </w:r>
    </w:p>
    <w:p w14:paraId="3088FD4F" w14:textId="77777777" w:rsidR="00880962" w:rsidRPr="004A18D9" w:rsidRDefault="00880962" w:rsidP="00880962">
      <w:pPr>
        <w:spacing w:before="240" w:after="240" w:line="360" w:lineRule="auto"/>
        <w:ind w:left="360"/>
        <w:jc w:val="both"/>
        <w:rPr>
          <w:rFonts w:ascii="Garamond" w:eastAsia="Times New Roman" w:hAnsi="Garamond" w:cs="Times New Roman"/>
          <w:sz w:val="26"/>
          <w:szCs w:val="26"/>
        </w:rPr>
      </w:pPr>
      <w:r w:rsidRPr="004A18D9">
        <w:rPr>
          <w:rFonts w:ascii="Garamond" w:eastAsia="Times New Roman" w:hAnsi="Garamond" w:cs="Times New Roman"/>
          <w:sz w:val="26"/>
          <w:szCs w:val="26"/>
        </w:rPr>
        <w:t>Though it can be well rebutted and contended that the cherry picking of scientific empirical evidence has been foundation stone for proving the neurological state of mind of homosexual person.</w:t>
      </w:r>
      <w:r>
        <w:rPr>
          <w:rStyle w:val="FootnoteReference"/>
          <w:rFonts w:ascii="Garamond" w:eastAsia="Times New Roman" w:hAnsi="Garamond" w:cs="Times New Roman"/>
          <w:sz w:val="26"/>
          <w:szCs w:val="26"/>
        </w:rPr>
        <w:footnoteReference w:id="21"/>
      </w:r>
      <w:r w:rsidRPr="004A18D9">
        <w:rPr>
          <w:rFonts w:ascii="Garamond" w:eastAsia="Times New Roman" w:hAnsi="Garamond" w:cs="Times New Roman"/>
          <w:sz w:val="26"/>
          <w:szCs w:val="26"/>
        </w:rPr>
        <w:t xml:space="preserve"> There has been a psychopathological derivation by study of Alfred Kinsey</w:t>
      </w:r>
      <w:r>
        <w:rPr>
          <w:rStyle w:val="FootnoteReference"/>
          <w:rFonts w:ascii="Garamond" w:eastAsia="Times New Roman" w:hAnsi="Garamond" w:cs="Times New Roman"/>
          <w:sz w:val="26"/>
          <w:szCs w:val="26"/>
        </w:rPr>
        <w:footnoteReference w:id="22"/>
      </w:r>
      <w:r w:rsidRPr="004A18D9">
        <w:rPr>
          <w:rFonts w:ascii="Garamond" w:eastAsia="Times New Roman" w:hAnsi="Garamond" w:cs="Times New Roman"/>
          <w:sz w:val="26"/>
          <w:szCs w:val="26"/>
        </w:rPr>
        <w:t>, which states that Human behaviour of homosexuality is normal variation because it is more common than previously assumed, showing a sociological genetic trait enabling homosexuality. Such logic-based arguments in domain of science are deemed unacceptable by some prominent researchers, especially by countering the logic that in such a case all human behaviours including serial killing would have to be consider normal.</w:t>
      </w:r>
    </w:p>
    <w:p w14:paraId="126A90B3" w14:textId="77777777" w:rsidR="00880962" w:rsidRPr="004A18D9" w:rsidRDefault="00880962" w:rsidP="00880962">
      <w:pPr>
        <w:spacing w:before="240" w:after="240" w:line="360" w:lineRule="auto"/>
        <w:ind w:left="360"/>
        <w:jc w:val="both"/>
        <w:rPr>
          <w:rFonts w:ascii="Garamond" w:eastAsia="Times New Roman" w:hAnsi="Garamond" w:cs="Times New Roman"/>
          <w:sz w:val="26"/>
          <w:szCs w:val="26"/>
        </w:rPr>
      </w:pPr>
      <w:r w:rsidRPr="004A18D9">
        <w:rPr>
          <w:rFonts w:ascii="Garamond" w:eastAsia="Times New Roman" w:hAnsi="Garamond" w:cs="Times New Roman"/>
          <w:sz w:val="26"/>
          <w:szCs w:val="26"/>
        </w:rPr>
        <w:t>The more advanced and recent studies</w:t>
      </w:r>
      <w:r>
        <w:rPr>
          <w:rStyle w:val="FootnoteReference"/>
          <w:rFonts w:ascii="Garamond" w:eastAsia="Times New Roman" w:hAnsi="Garamond" w:cs="Times New Roman"/>
          <w:sz w:val="26"/>
          <w:szCs w:val="26"/>
        </w:rPr>
        <w:footnoteReference w:id="23"/>
      </w:r>
      <w:r w:rsidRPr="004A18D9">
        <w:rPr>
          <w:rFonts w:ascii="Garamond" w:eastAsia="Times New Roman" w:hAnsi="Garamond" w:cs="Times New Roman"/>
          <w:sz w:val="26"/>
          <w:szCs w:val="26"/>
        </w:rPr>
        <w:t xml:space="preserve"> using more scientific methods such as MRI and PET have shown affective disorder. There has been detection of brain asymmetries and on examination, it has been revealed that homosexuals show reverse pattern in blood-flow to amygdala, i.e., gay man having replicative neurological behaviour to that </w:t>
      </w:r>
      <w:r w:rsidRPr="004A18D9">
        <w:rPr>
          <w:rFonts w:ascii="Garamond" w:eastAsia="Times New Roman" w:hAnsi="Garamond" w:cs="Times New Roman"/>
          <w:sz w:val="26"/>
          <w:szCs w:val="26"/>
        </w:rPr>
        <w:lastRenderedPageBreak/>
        <w:t>of straight woman. This exhibits tangent away from normalcy, thereby deeming this to be prospective mental disorder.</w:t>
      </w:r>
    </w:p>
    <w:p w14:paraId="6A632D20" w14:textId="692C8686" w:rsidR="00880962" w:rsidRDefault="00880962" w:rsidP="00924C87">
      <w:pPr>
        <w:spacing w:before="240" w:after="240" w:line="360" w:lineRule="auto"/>
        <w:ind w:left="360"/>
        <w:jc w:val="both"/>
        <w:rPr>
          <w:rFonts w:ascii="Garamond" w:eastAsia="Times New Roman" w:hAnsi="Garamond" w:cs="Times New Roman"/>
          <w:sz w:val="26"/>
          <w:szCs w:val="26"/>
        </w:rPr>
      </w:pPr>
      <w:r w:rsidRPr="004A18D9">
        <w:rPr>
          <w:rFonts w:ascii="Garamond" w:eastAsia="Times New Roman" w:hAnsi="Garamond" w:cs="Times New Roman"/>
          <w:sz w:val="26"/>
          <w:szCs w:val="26"/>
        </w:rPr>
        <w:t>The open question and discretion of the court, shall lie in examining the question of law whether two lunatics can marry. If the prima-facie legislative intent of marriage is examined vis-à-vis Special Marriage Act</w:t>
      </w:r>
      <w:r>
        <w:rPr>
          <w:rStyle w:val="FootnoteReference"/>
          <w:rFonts w:ascii="Garamond" w:eastAsia="Times New Roman" w:hAnsi="Garamond" w:cs="Times New Roman"/>
          <w:sz w:val="26"/>
          <w:szCs w:val="26"/>
        </w:rPr>
        <w:footnoteReference w:id="24"/>
      </w:r>
      <w:r w:rsidRPr="004A18D9">
        <w:rPr>
          <w:rFonts w:ascii="Garamond" w:eastAsia="Times New Roman" w:hAnsi="Garamond" w:cs="Times New Roman"/>
          <w:sz w:val="26"/>
          <w:szCs w:val="26"/>
        </w:rPr>
        <w:t>, a clause in form-3 makes it mandatory for declaring that neither of the parties have any such disorder. It might be therefore inferred that if homosexuality is considered a mental disorder, it may further also bar the marriage since both the parties shall than be considered unfit in mental capacity.</w:t>
      </w:r>
    </w:p>
    <w:tbl>
      <w:tblPr>
        <w:tblStyle w:val="TableGridLight"/>
        <w:tblW w:w="0" w:type="auto"/>
        <w:tblLook w:val="04A0" w:firstRow="1" w:lastRow="0" w:firstColumn="1" w:lastColumn="0" w:noHBand="0" w:noVBand="1"/>
      </w:tblPr>
      <w:tblGrid>
        <w:gridCol w:w="9016"/>
      </w:tblGrid>
      <w:tr w:rsidR="0012573E" w14:paraId="1116A585" w14:textId="77777777" w:rsidTr="0012573E">
        <w:tc>
          <w:tcPr>
            <w:tcW w:w="9016" w:type="dxa"/>
          </w:tcPr>
          <w:p w14:paraId="39F542F6" w14:textId="00749259" w:rsidR="00AF6D33" w:rsidRPr="0012573E" w:rsidRDefault="0012573E" w:rsidP="00924C87">
            <w:pPr>
              <w:spacing w:before="240" w:after="240" w:line="360" w:lineRule="auto"/>
              <w:jc w:val="both"/>
              <w:rPr>
                <w:rFonts w:ascii="Garamond" w:eastAsia="Times New Roman" w:hAnsi="Garamond" w:cs="Times New Roman"/>
                <w:sz w:val="26"/>
                <w:szCs w:val="26"/>
              </w:rPr>
            </w:pPr>
            <w:r>
              <w:rPr>
                <w:rFonts w:ascii="Garamond" w:eastAsia="Times New Roman" w:hAnsi="Garamond" w:cs="Times New Roman"/>
                <w:i/>
                <w:iCs/>
                <w:sz w:val="26"/>
                <w:szCs w:val="26"/>
              </w:rPr>
              <w:t>Conclusion</w:t>
            </w:r>
            <w:r>
              <w:rPr>
                <w:rFonts w:ascii="Garamond" w:eastAsia="Times New Roman" w:hAnsi="Garamond" w:cs="Times New Roman"/>
                <w:sz w:val="26"/>
                <w:szCs w:val="26"/>
              </w:rPr>
              <w:t>: Homosexuality can be considered a factor of mental incapacity leading to mental incapacity</w:t>
            </w:r>
            <w:r w:rsidR="00AF6D33">
              <w:rPr>
                <w:rFonts w:ascii="Garamond" w:eastAsia="Times New Roman" w:hAnsi="Garamond" w:cs="Times New Roman"/>
                <w:sz w:val="26"/>
                <w:szCs w:val="26"/>
              </w:rPr>
              <w:t>, and additional scientific evidence for same is examined</w:t>
            </w:r>
            <w:r>
              <w:rPr>
                <w:rFonts w:ascii="Garamond" w:eastAsia="Times New Roman" w:hAnsi="Garamond" w:cs="Times New Roman"/>
                <w:sz w:val="26"/>
                <w:szCs w:val="26"/>
              </w:rPr>
              <w:t xml:space="preserve">. This raises </w:t>
            </w:r>
            <w:r w:rsidR="00AF6D33">
              <w:rPr>
                <w:rFonts w:ascii="Garamond" w:eastAsia="Times New Roman" w:hAnsi="Garamond" w:cs="Times New Roman"/>
                <w:sz w:val="26"/>
                <w:szCs w:val="26"/>
              </w:rPr>
              <w:t xml:space="preserve">a </w:t>
            </w:r>
            <w:r>
              <w:rPr>
                <w:rFonts w:ascii="Garamond" w:eastAsia="Times New Roman" w:hAnsi="Garamond" w:cs="Times New Roman"/>
                <w:sz w:val="26"/>
                <w:szCs w:val="26"/>
              </w:rPr>
              <w:t xml:space="preserve">question; if court determines both </w:t>
            </w:r>
            <w:r w:rsidR="00AF6D33">
              <w:rPr>
                <w:rFonts w:ascii="Garamond" w:eastAsia="Times New Roman" w:hAnsi="Garamond" w:cs="Times New Roman"/>
                <w:sz w:val="26"/>
                <w:szCs w:val="26"/>
              </w:rPr>
              <w:t xml:space="preserve">parties as mentally incapacitated, whether two such parties can marry? </w:t>
            </w:r>
          </w:p>
        </w:tc>
      </w:tr>
    </w:tbl>
    <w:p w14:paraId="79C7135E" w14:textId="1DE214BD" w:rsidR="00880962" w:rsidRDefault="00880962" w:rsidP="00880962">
      <w:pPr>
        <w:pStyle w:val="Heading5"/>
        <w:jc w:val="both"/>
        <w:rPr>
          <w:rFonts w:ascii="Garamond" w:hAnsi="Garamond"/>
          <w:b/>
          <w:bCs/>
          <w:color w:val="auto"/>
          <w:sz w:val="26"/>
          <w:szCs w:val="26"/>
        </w:rPr>
      </w:pPr>
      <w:bookmarkStart w:id="6" w:name="_s2idsbsge02p" w:colFirst="0" w:colLast="0"/>
      <w:bookmarkEnd w:id="6"/>
      <w:r w:rsidRPr="0012573E">
        <w:rPr>
          <w:rFonts w:ascii="Garamond" w:hAnsi="Garamond"/>
          <w:b/>
          <w:bCs/>
          <w:color w:val="auto"/>
          <w:sz w:val="26"/>
          <w:szCs w:val="26"/>
        </w:rPr>
        <w:t>3. Age of Marriage of Bridegroom and Bride</w:t>
      </w:r>
    </w:p>
    <w:p w14:paraId="41C78264" w14:textId="77777777" w:rsidR="00872EEE" w:rsidRPr="00872EEE" w:rsidRDefault="00872EEE" w:rsidP="00872EEE"/>
    <w:p w14:paraId="379C4697" w14:textId="2BDEC116" w:rsidR="00AF6D33" w:rsidRPr="00AF6D33" w:rsidRDefault="00AF6D33" w:rsidP="00880962">
      <w:pPr>
        <w:spacing w:before="240" w:after="240"/>
        <w:jc w:val="both"/>
        <w:rPr>
          <w:rFonts w:ascii="Garamond" w:eastAsia="Times New Roman" w:hAnsi="Garamond" w:cs="Times New Roman"/>
          <w:i/>
          <w:iCs/>
          <w:sz w:val="26"/>
          <w:szCs w:val="26"/>
        </w:rPr>
      </w:pPr>
      <w:r>
        <w:rPr>
          <w:rFonts w:ascii="Garamond" w:eastAsia="Times New Roman" w:hAnsi="Garamond" w:cs="Times New Roman"/>
          <w:i/>
          <w:iCs/>
          <w:sz w:val="26"/>
          <w:szCs w:val="26"/>
        </w:rPr>
        <w:t>Issue Examined: Interpretation of terms Bride &amp; Bridegroom</w:t>
      </w:r>
    </w:p>
    <w:p w14:paraId="653EE8D2" w14:textId="3555CCBD" w:rsidR="00880962" w:rsidRPr="004A18D9" w:rsidRDefault="00880962" w:rsidP="00880962">
      <w:pPr>
        <w:spacing w:before="240" w:after="240"/>
        <w:jc w:val="both"/>
        <w:rPr>
          <w:rFonts w:ascii="Garamond" w:eastAsia="Times New Roman" w:hAnsi="Garamond" w:cs="Times New Roman"/>
          <w:sz w:val="26"/>
          <w:szCs w:val="26"/>
        </w:rPr>
      </w:pPr>
      <w:r w:rsidRPr="004A18D9">
        <w:rPr>
          <w:rFonts w:ascii="Garamond" w:eastAsia="Times New Roman" w:hAnsi="Garamond" w:cs="Times New Roman"/>
          <w:sz w:val="26"/>
          <w:szCs w:val="26"/>
        </w:rPr>
        <w:t>Section 5 (3) provides for implicitly for the first time, the introduction of gender specific nomenclature i.e., bride and bridegroom. Since competency and eligibility of age of bride and bridegroom is an essential to Hindu Marriage, it can be harmoniously read that the two satisfying conditions with respect to this section are age and gender which have to be fulfilled by the parties.</w:t>
      </w:r>
    </w:p>
    <w:p w14:paraId="39769AE1" w14:textId="77777777" w:rsidR="00880962" w:rsidRPr="004A18D9" w:rsidRDefault="00880962" w:rsidP="00880962">
      <w:pPr>
        <w:spacing w:before="240" w:after="240"/>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The gender argument can be based upon in congruence with matrimonial relations with the help of Supreme Court judgements in </w:t>
      </w:r>
      <w:r w:rsidRPr="004A18D9">
        <w:rPr>
          <w:rFonts w:ascii="Garamond" w:eastAsia="Times New Roman" w:hAnsi="Garamond" w:cs="Times New Roman"/>
          <w:b/>
          <w:sz w:val="26"/>
          <w:szCs w:val="26"/>
        </w:rPr>
        <w:t>National Legal Services Authority v. Union of India</w:t>
      </w:r>
      <w:r>
        <w:rPr>
          <w:rStyle w:val="FootnoteReference"/>
          <w:rFonts w:ascii="Garamond" w:eastAsia="Times New Roman" w:hAnsi="Garamond" w:cs="Times New Roman"/>
          <w:b/>
          <w:sz w:val="26"/>
          <w:szCs w:val="26"/>
        </w:rPr>
        <w:footnoteReference w:id="25"/>
      </w:r>
      <w:r w:rsidRPr="004A18D9">
        <w:rPr>
          <w:rFonts w:ascii="Garamond" w:eastAsia="Times New Roman" w:hAnsi="Garamond" w:cs="Times New Roman"/>
          <w:b/>
          <w:sz w:val="26"/>
          <w:szCs w:val="26"/>
        </w:rPr>
        <w:t xml:space="preserve">, </w:t>
      </w:r>
      <w:r w:rsidRPr="004A18D9">
        <w:rPr>
          <w:rFonts w:ascii="Garamond" w:eastAsia="Times New Roman" w:hAnsi="Garamond" w:cs="Times New Roman"/>
          <w:sz w:val="26"/>
          <w:szCs w:val="26"/>
        </w:rPr>
        <w:t xml:space="preserve">and </w:t>
      </w:r>
      <w:r w:rsidRPr="004A18D9">
        <w:rPr>
          <w:rFonts w:ascii="Garamond" w:eastAsia="Times New Roman" w:hAnsi="Garamond" w:cs="Times New Roman"/>
          <w:b/>
          <w:sz w:val="26"/>
          <w:szCs w:val="26"/>
        </w:rPr>
        <w:t xml:space="preserve">K.S. </w:t>
      </w:r>
      <w:proofErr w:type="spellStart"/>
      <w:r w:rsidRPr="004A18D9">
        <w:rPr>
          <w:rFonts w:ascii="Garamond" w:eastAsia="Times New Roman" w:hAnsi="Garamond" w:cs="Times New Roman"/>
          <w:b/>
          <w:sz w:val="26"/>
          <w:szCs w:val="26"/>
        </w:rPr>
        <w:t>Puttaswamy</w:t>
      </w:r>
      <w:proofErr w:type="spellEnd"/>
      <w:r w:rsidRPr="004A18D9">
        <w:rPr>
          <w:rFonts w:ascii="Garamond" w:eastAsia="Times New Roman" w:hAnsi="Garamond" w:cs="Times New Roman"/>
          <w:b/>
          <w:sz w:val="26"/>
          <w:szCs w:val="26"/>
        </w:rPr>
        <w:t xml:space="preserve"> v. Union of India</w:t>
      </w:r>
      <w:r>
        <w:rPr>
          <w:rStyle w:val="FootnoteReference"/>
          <w:rFonts w:ascii="Garamond" w:eastAsia="Times New Roman" w:hAnsi="Garamond" w:cs="Times New Roman"/>
          <w:b/>
          <w:sz w:val="26"/>
          <w:szCs w:val="26"/>
        </w:rPr>
        <w:footnoteReference w:id="26"/>
      </w:r>
      <w:r w:rsidRPr="004A18D9">
        <w:rPr>
          <w:rFonts w:ascii="Garamond" w:eastAsia="Times New Roman" w:hAnsi="Garamond" w:cs="Times New Roman"/>
          <w:b/>
          <w:sz w:val="26"/>
          <w:szCs w:val="26"/>
        </w:rPr>
        <w:t xml:space="preserve">. </w:t>
      </w:r>
      <w:r w:rsidRPr="004A18D9">
        <w:rPr>
          <w:rFonts w:ascii="Garamond" w:eastAsia="Times New Roman" w:hAnsi="Garamond" w:cs="Times New Roman"/>
          <w:sz w:val="26"/>
          <w:szCs w:val="26"/>
        </w:rPr>
        <w:t>On the basis of these judgements, it can be derived:</w:t>
      </w:r>
    </w:p>
    <w:p w14:paraId="1620745F" w14:textId="77777777" w:rsidR="00880962" w:rsidRPr="00CC2CF3" w:rsidRDefault="00880962" w:rsidP="00880962">
      <w:pPr>
        <w:spacing w:before="240" w:after="240"/>
        <w:ind w:left="1800" w:hanging="720"/>
        <w:jc w:val="both"/>
        <w:rPr>
          <w:rFonts w:ascii="Garamond" w:eastAsia="Times New Roman" w:hAnsi="Garamond" w:cs="Times New Roman"/>
          <w:b/>
          <w:bCs/>
          <w:sz w:val="26"/>
          <w:szCs w:val="26"/>
        </w:rPr>
      </w:pPr>
      <w:proofErr w:type="spellStart"/>
      <w:r w:rsidRPr="00CC2CF3">
        <w:rPr>
          <w:rFonts w:ascii="Garamond" w:eastAsia="Times New Roman" w:hAnsi="Garamond" w:cs="Times New Roman"/>
          <w:b/>
          <w:bCs/>
          <w:sz w:val="26"/>
          <w:szCs w:val="26"/>
        </w:rPr>
        <w:t>i</w:t>
      </w:r>
      <w:proofErr w:type="spellEnd"/>
      <w:r w:rsidRPr="00CC2CF3">
        <w:rPr>
          <w:rFonts w:ascii="Garamond" w:eastAsia="Times New Roman" w:hAnsi="Garamond" w:cs="Times New Roman"/>
          <w:b/>
          <w:bCs/>
          <w:sz w:val="26"/>
          <w:szCs w:val="26"/>
        </w:rPr>
        <w:t>. Self-determination of either party of same sex as bride and bridegroom</w:t>
      </w:r>
    </w:p>
    <w:p w14:paraId="761D10B0" w14:textId="77777777" w:rsidR="00880962" w:rsidRPr="004A18D9" w:rsidRDefault="00880962" w:rsidP="00880962">
      <w:pPr>
        <w:spacing w:before="240" w:after="240"/>
        <w:ind w:left="1080"/>
        <w:jc w:val="both"/>
        <w:rPr>
          <w:rFonts w:ascii="Garamond" w:eastAsia="Times New Roman" w:hAnsi="Garamond" w:cs="Times New Roman"/>
          <w:sz w:val="26"/>
          <w:szCs w:val="26"/>
        </w:rPr>
      </w:pPr>
      <w:r w:rsidRPr="004A18D9">
        <w:rPr>
          <w:rFonts w:ascii="Garamond" w:eastAsia="Times New Roman" w:hAnsi="Garamond" w:cs="Times New Roman"/>
          <w:sz w:val="26"/>
          <w:szCs w:val="26"/>
        </w:rPr>
        <w:t>In light of the following judgements, it is ascertained that gender and sex determination are an embedded part of ones’ personality. In words of Justice A.K. Sikri (Majority opinion), in Aadhar verdict</w:t>
      </w:r>
      <w:r>
        <w:rPr>
          <w:rStyle w:val="FootnoteReference"/>
          <w:rFonts w:ascii="Garamond" w:eastAsia="Times New Roman" w:hAnsi="Garamond" w:cs="Times New Roman"/>
          <w:sz w:val="26"/>
          <w:szCs w:val="26"/>
        </w:rPr>
        <w:footnoteReference w:id="27"/>
      </w:r>
      <w:r w:rsidRPr="004A18D9">
        <w:rPr>
          <w:rFonts w:ascii="Garamond" w:eastAsia="Times New Roman" w:hAnsi="Garamond" w:cs="Times New Roman"/>
          <w:sz w:val="26"/>
          <w:szCs w:val="26"/>
        </w:rPr>
        <w:t xml:space="preserve"> “It is better to be unique than the best. Because, being the best makes you the number one, but being unique makes you the only one”.</w:t>
      </w:r>
    </w:p>
    <w:p w14:paraId="7113D47A" w14:textId="06902F13" w:rsidR="00880962" w:rsidRPr="004A18D9" w:rsidRDefault="00880962" w:rsidP="00CC2CF3">
      <w:pPr>
        <w:spacing w:before="240" w:after="240"/>
        <w:ind w:left="1080"/>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But for legal purposes only transgenders and persons of inter-sex are allowed for official self-determination of their own sex. Therefore, with regards to the fundamental aspects of constitutional morality, persons with homosexual </w:t>
      </w:r>
      <w:r w:rsidRPr="004A18D9">
        <w:rPr>
          <w:rFonts w:ascii="Garamond" w:eastAsia="Times New Roman" w:hAnsi="Garamond" w:cs="Times New Roman"/>
          <w:sz w:val="26"/>
          <w:szCs w:val="26"/>
        </w:rPr>
        <w:lastRenderedPageBreak/>
        <w:t>orientation may have philosophical right but for the technicalities of Hindu Marriage Act, there is no enabling provision that would satisfy the said sections.</w:t>
      </w:r>
    </w:p>
    <w:p w14:paraId="20CB3E5D" w14:textId="77777777" w:rsidR="00880962" w:rsidRPr="004A18D9" w:rsidRDefault="00880962" w:rsidP="00880962">
      <w:pPr>
        <w:spacing w:before="240" w:after="240"/>
        <w:ind w:left="1800" w:hanging="720"/>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ii.               Interpreting the </w:t>
      </w:r>
      <w:r w:rsidRPr="004A18D9">
        <w:rPr>
          <w:rFonts w:ascii="Garamond" w:eastAsia="Times New Roman" w:hAnsi="Garamond" w:cs="Times New Roman"/>
          <w:b/>
          <w:sz w:val="26"/>
          <w:szCs w:val="26"/>
        </w:rPr>
        <w:t xml:space="preserve">bride </w:t>
      </w:r>
      <w:r w:rsidRPr="004A18D9">
        <w:rPr>
          <w:rFonts w:ascii="Garamond" w:eastAsia="Times New Roman" w:hAnsi="Garamond" w:cs="Times New Roman"/>
          <w:sz w:val="26"/>
          <w:szCs w:val="26"/>
        </w:rPr>
        <w:t xml:space="preserve">and </w:t>
      </w:r>
      <w:r w:rsidRPr="004A18D9">
        <w:rPr>
          <w:rFonts w:ascii="Garamond" w:eastAsia="Times New Roman" w:hAnsi="Garamond" w:cs="Times New Roman"/>
          <w:b/>
          <w:sz w:val="26"/>
          <w:szCs w:val="26"/>
        </w:rPr>
        <w:t xml:space="preserve">bridegroom </w:t>
      </w:r>
      <w:r w:rsidRPr="004A18D9">
        <w:rPr>
          <w:rFonts w:ascii="Garamond" w:eastAsia="Times New Roman" w:hAnsi="Garamond" w:cs="Times New Roman"/>
          <w:sz w:val="26"/>
          <w:szCs w:val="26"/>
        </w:rPr>
        <w:t>nomenclature</w:t>
      </w:r>
    </w:p>
    <w:p w14:paraId="28D940CF" w14:textId="618E19FF" w:rsidR="00872EEE" w:rsidRPr="004A18D9" w:rsidRDefault="00880962" w:rsidP="00330D6B">
      <w:pPr>
        <w:spacing w:before="240" w:after="240"/>
        <w:ind w:left="1080"/>
        <w:jc w:val="both"/>
        <w:rPr>
          <w:rFonts w:ascii="Garamond" w:eastAsia="Times New Roman" w:hAnsi="Garamond" w:cs="Times New Roman"/>
          <w:sz w:val="26"/>
          <w:szCs w:val="26"/>
        </w:rPr>
      </w:pPr>
      <w:r w:rsidRPr="004A18D9">
        <w:rPr>
          <w:rFonts w:ascii="Garamond" w:eastAsia="Times New Roman" w:hAnsi="Garamond" w:cs="Times New Roman"/>
          <w:sz w:val="26"/>
          <w:szCs w:val="26"/>
        </w:rPr>
        <w:t>The High Court of Madras, in Arun Kumar v. Inspector General of Registration</w:t>
      </w:r>
      <w:r>
        <w:rPr>
          <w:rStyle w:val="FootnoteReference"/>
          <w:rFonts w:ascii="Garamond" w:eastAsia="Times New Roman" w:hAnsi="Garamond" w:cs="Times New Roman"/>
          <w:sz w:val="26"/>
          <w:szCs w:val="26"/>
        </w:rPr>
        <w:footnoteReference w:id="28"/>
      </w:r>
      <w:r w:rsidRPr="004A18D9">
        <w:rPr>
          <w:rFonts w:ascii="Garamond" w:eastAsia="Times New Roman" w:hAnsi="Garamond" w:cs="Times New Roman"/>
          <w:sz w:val="26"/>
          <w:szCs w:val="26"/>
        </w:rPr>
        <w:t xml:space="preserve"> dealt with what would the following terms include in an interpretative sense.</w:t>
      </w:r>
    </w:p>
    <w:p w14:paraId="37B151D6" w14:textId="77777777" w:rsidR="00880962" w:rsidRPr="004A18D9" w:rsidRDefault="00880962" w:rsidP="00880962">
      <w:pPr>
        <w:spacing w:before="240" w:after="240"/>
        <w:ind w:left="1800" w:hanging="360"/>
        <w:jc w:val="both"/>
        <w:rPr>
          <w:rFonts w:ascii="Garamond" w:eastAsia="Times New Roman" w:hAnsi="Garamond" w:cs="Times New Roman"/>
          <w:sz w:val="26"/>
          <w:szCs w:val="26"/>
        </w:rPr>
      </w:pPr>
      <w:r w:rsidRPr="004A18D9">
        <w:rPr>
          <w:rFonts w:ascii="Garamond" w:eastAsia="Times New Roman" w:hAnsi="Garamond" w:cs="Times New Roman"/>
          <w:sz w:val="26"/>
          <w:szCs w:val="26"/>
        </w:rPr>
        <w:t>a.      Scientific Rationale</w:t>
      </w:r>
    </w:p>
    <w:p w14:paraId="289D5E5A" w14:textId="77777777" w:rsidR="00880962" w:rsidRPr="004A18D9" w:rsidRDefault="00880962" w:rsidP="00880962">
      <w:pPr>
        <w:spacing w:before="240" w:after="240"/>
        <w:ind w:left="1440"/>
        <w:jc w:val="both"/>
        <w:rPr>
          <w:rFonts w:ascii="Garamond" w:eastAsia="Times New Roman" w:hAnsi="Garamond" w:cs="Times New Roman"/>
          <w:b/>
          <w:sz w:val="26"/>
          <w:szCs w:val="26"/>
        </w:rPr>
      </w:pPr>
      <w:r w:rsidRPr="004A18D9">
        <w:rPr>
          <w:rFonts w:ascii="Garamond" w:eastAsia="Times New Roman" w:hAnsi="Garamond" w:cs="Times New Roman"/>
          <w:sz w:val="26"/>
          <w:szCs w:val="26"/>
        </w:rPr>
        <w:t xml:space="preserve">The court looked the two words within the broader ambit of the word </w:t>
      </w:r>
      <w:r w:rsidRPr="004A18D9">
        <w:rPr>
          <w:rFonts w:ascii="Garamond" w:eastAsia="Times New Roman" w:hAnsi="Garamond" w:cs="Times New Roman"/>
          <w:b/>
          <w:sz w:val="26"/>
          <w:szCs w:val="26"/>
        </w:rPr>
        <w:t xml:space="preserve">Person, </w:t>
      </w:r>
      <w:r w:rsidRPr="004A18D9">
        <w:rPr>
          <w:rFonts w:ascii="Garamond" w:eastAsia="Times New Roman" w:hAnsi="Garamond" w:cs="Times New Roman"/>
          <w:sz w:val="26"/>
          <w:szCs w:val="26"/>
        </w:rPr>
        <w:t xml:space="preserve">who would not be restricted to merely male and female with respective </w:t>
      </w:r>
      <w:proofErr w:type="spellStart"/>
      <w:r w:rsidRPr="004A18D9">
        <w:rPr>
          <w:rFonts w:ascii="Garamond" w:eastAsia="Times New Roman" w:hAnsi="Garamond" w:cs="Times New Roman"/>
          <w:sz w:val="26"/>
          <w:szCs w:val="26"/>
        </w:rPr>
        <w:t>gentelia</w:t>
      </w:r>
      <w:proofErr w:type="spellEnd"/>
      <w:r w:rsidRPr="004A18D9">
        <w:rPr>
          <w:rFonts w:ascii="Garamond" w:eastAsia="Times New Roman" w:hAnsi="Garamond" w:cs="Times New Roman"/>
          <w:sz w:val="26"/>
          <w:szCs w:val="26"/>
        </w:rPr>
        <w:t xml:space="preserve"> at the time of birth rather persons beyond this definition as well so as to incorporate the essence of Right to Life enshrined under Article 21 to </w:t>
      </w:r>
      <w:r w:rsidRPr="004A18D9">
        <w:rPr>
          <w:rFonts w:ascii="Garamond" w:eastAsia="Times New Roman" w:hAnsi="Garamond" w:cs="Times New Roman"/>
          <w:b/>
          <w:sz w:val="26"/>
          <w:szCs w:val="26"/>
        </w:rPr>
        <w:t>all persons.</w:t>
      </w:r>
    </w:p>
    <w:p w14:paraId="0F1DF472" w14:textId="69D77E94" w:rsidR="00880962" w:rsidRPr="004A18D9" w:rsidRDefault="00880962" w:rsidP="00CC2CF3">
      <w:pPr>
        <w:spacing w:before="240" w:after="240"/>
        <w:ind w:left="1440"/>
        <w:jc w:val="both"/>
        <w:rPr>
          <w:rFonts w:ascii="Garamond" w:eastAsia="Times New Roman" w:hAnsi="Garamond" w:cs="Times New Roman"/>
          <w:sz w:val="26"/>
          <w:szCs w:val="26"/>
        </w:rPr>
      </w:pPr>
      <w:r w:rsidRPr="004A18D9">
        <w:rPr>
          <w:rFonts w:ascii="Garamond" w:eastAsia="Times New Roman" w:hAnsi="Garamond" w:cs="Times New Roman"/>
          <w:sz w:val="26"/>
          <w:szCs w:val="26"/>
        </w:rPr>
        <w:t>It is an appreciable aspect of the judgement, whereby the honourable court delv</w:t>
      </w:r>
      <w:r>
        <w:rPr>
          <w:rFonts w:ascii="Garamond" w:eastAsia="Times New Roman" w:hAnsi="Garamond" w:cs="Times New Roman"/>
          <w:sz w:val="26"/>
          <w:szCs w:val="26"/>
        </w:rPr>
        <w:t>e</w:t>
      </w:r>
      <w:r w:rsidRPr="004A18D9">
        <w:rPr>
          <w:rFonts w:ascii="Garamond" w:eastAsia="Times New Roman" w:hAnsi="Garamond" w:cs="Times New Roman"/>
          <w:sz w:val="26"/>
          <w:szCs w:val="26"/>
        </w:rPr>
        <w:t>d into the neurological perspective of sex by analysing the work of Prof. V.S. Ramachandran where he notes that the brain of self also has an identity that might be different in case of transgenders and transsexuals.</w:t>
      </w:r>
    </w:p>
    <w:p w14:paraId="0B377E20" w14:textId="77777777" w:rsidR="00880962" w:rsidRPr="004A18D9" w:rsidRDefault="00880962" w:rsidP="00880962">
      <w:pPr>
        <w:spacing w:before="240" w:after="240"/>
        <w:ind w:left="1800" w:hanging="360"/>
        <w:jc w:val="both"/>
        <w:rPr>
          <w:rFonts w:ascii="Garamond" w:eastAsia="Times New Roman" w:hAnsi="Garamond" w:cs="Times New Roman"/>
          <w:sz w:val="26"/>
          <w:szCs w:val="26"/>
        </w:rPr>
      </w:pPr>
      <w:r w:rsidRPr="004A18D9">
        <w:rPr>
          <w:rFonts w:ascii="Garamond" w:eastAsia="Times New Roman" w:hAnsi="Garamond" w:cs="Times New Roman"/>
          <w:i/>
          <w:sz w:val="26"/>
          <w:szCs w:val="26"/>
        </w:rPr>
        <w:t>b.</w:t>
      </w:r>
      <w:r w:rsidRPr="004A18D9">
        <w:rPr>
          <w:rFonts w:ascii="Garamond" w:eastAsia="Times New Roman" w:hAnsi="Garamond" w:cs="Times New Roman"/>
          <w:sz w:val="26"/>
          <w:szCs w:val="26"/>
        </w:rPr>
        <w:t xml:space="preserve">     CONTEMPORANEA EXPOSITIO   </w:t>
      </w:r>
    </w:p>
    <w:p w14:paraId="6AEE5AC1" w14:textId="77777777" w:rsidR="00880962" w:rsidRPr="004A18D9" w:rsidRDefault="00880962" w:rsidP="00880962">
      <w:pPr>
        <w:spacing w:before="240" w:after="240"/>
        <w:ind w:left="1440"/>
        <w:jc w:val="both"/>
        <w:rPr>
          <w:rFonts w:ascii="Garamond" w:eastAsia="Times New Roman" w:hAnsi="Garamond" w:cs="Times New Roman"/>
          <w:sz w:val="26"/>
          <w:szCs w:val="26"/>
        </w:rPr>
      </w:pPr>
      <w:r w:rsidRPr="004A18D9">
        <w:rPr>
          <w:rFonts w:ascii="Garamond" w:eastAsia="Times New Roman" w:hAnsi="Garamond" w:cs="Times New Roman"/>
          <w:sz w:val="26"/>
          <w:szCs w:val="26"/>
        </w:rPr>
        <w:t>The court noted the maxim, “</w:t>
      </w:r>
      <w:proofErr w:type="spellStart"/>
      <w:r w:rsidRPr="004A18D9">
        <w:rPr>
          <w:rFonts w:ascii="Garamond" w:eastAsia="Times New Roman" w:hAnsi="Garamond" w:cs="Times New Roman"/>
          <w:i/>
          <w:sz w:val="26"/>
          <w:szCs w:val="26"/>
        </w:rPr>
        <w:t>optimus</w:t>
      </w:r>
      <w:proofErr w:type="spellEnd"/>
      <w:r w:rsidRPr="004A18D9">
        <w:rPr>
          <w:rFonts w:ascii="Garamond" w:eastAsia="Times New Roman" w:hAnsi="Garamond" w:cs="Times New Roman"/>
          <w:i/>
          <w:sz w:val="26"/>
          <w:szCs w:val="26"/>
        </w:rPr>
        <w:t xml:space="preserve"> </w:t>
      </w:r>
      <w:proofErr w:type="spellStart"/>
      <w:r w:rsidRPr="004A18D9">
        <w:rPr>
          <w:rFonts w:ascii="Garamond" w:eastAsia="Times New Roman" w:hAnsi="Garamond" w:cs="Times New Roman"/>
          <w:i/>
          <w:sz w:val="26"/>
          <w:szCs w:val="26"/>
        </w:rPr>
        <w:t>legum</w:t>
      </w:r>
      <w:proofErr w:type="spellEnd"/>
      <w:r w:rsidRPr="004A18D9">
        <w:rPr>
          <w:rFonts w:ascii="Garamond" w:eastAsia="Times New Roman" w:hAnsi="Garamond" w:cs="Times New Roman"/>
          <w:i/>
          <w:sz w:val="26"/>
          <w:szCs w:val="26"/>
        </w:rPr>
        <w:t xml:space="preserve"> </w:t>
      </w:r>
      <w:proofErr w:type="spellStart"/>
      <w:r w:rsidRPr="004A18D9">
        <w:rPr>
          <w:rFonts w:ascii="Garamond" w:eastAsia="Times New Roman" w:hAnsi="Garamond" w:cs="Times New Roman"/>
          <w:i/>
          <w:sz w:val="26"/>
          <w:szCs w:val="26"/>
        </w:rPr>
        <w:t>interpres</w:t>
      </w:r>
      <w:proofErr w:type="spellEnd"/>
      <w:r w:rsidRPr="004A18D9">
        <w:rPr>
          <w:rFonts w:ascii="Garamond" w:eastAsia="Times New Roman" w:hAnsi="Garamond" w:cs="Times New Roman"/>
          <w:i/>
          <w:sz w:val="26"/>
          <w:szCs w:val="26"/>
        </w:rPr>
        <w:t xml:space="preserve"> </w:t>
      </w:r>
      <w:proofErr w:type="spellStart"/>
      <w:r w:rsidRPr="004A18D9">
        <w:rPr>
          <w:rFonts w:ascii="Garamond" w:eastAsia="Times New Roman" w:hAnsi="Garamond" w:cs="Times New Roman"/>
          <w:i/>
          <w:sz w:val="26"/>
          <w:szCs w:val="26"/>
        </w:rPr>
        <w:t>est</w:t>
      </w:r>
      <w:proofErr w:type="spellEnd"/>
      <w:r w:rsidRPr="004A18D9">
        <w:rPr>
          <w:rFonts w:ascii="Garamond" w:eastAsia="Times New Roman" w:hAnsi="Garamond" w:cs="Times New Roman"/>
          <w:i/>
          <w:sz w:val="26"/>
          <w:szCs w:val="26"/>
        </w:rPr>
        <w:t xml:space="preserve"> consuetudo; </w:t>
      </w:r>
      <w:proofErr w:type="spellStart"/>
      <w:r w:rsidRPr="004A18D9">
        <w:rPr>
          <w:rFonts w:ascii="Garamond" w:eastAsia="Times New Roman" w:hAnsi="Garamond" w:cs="Times New Roman"/>
          <w:i/>
          <w:sz w:val="26"/>
          <w:szCs w:val="26"/>
        </w:rPr>
        <w:t>Contemporanea</w:t>
      </w:r>
      <w:proofErr w:type="spellEnd"/>
      <w:r w:rsidRPr="004A18D9">
        <w:rPr>
          <w:rFonts w:ascii="Garamond" w:eastAsia="Times New Roman" w:hAnsi="Garamond" w:cs="Times New Roman"/>
          <w:i/>
          <w:sz w:val="26"/>
          <w:szCs w:val="26"/>
        </w:rPr>
        <w:t xml:space="preserve"> </w:t>
      </w:r>
      <w:proofErr w:type="spellStart"/>
      <w:r w:rsidRPr="004A18D9">
        <w:rPr>
          <w:rFonts w:ascii="Garamond" w:eastAsia="Times New Roman" w:hAnsi="Garamond" w:cs="Times New Roman"/>
          <w:i/>
          <w:sz w:val="26"/>
          <w:szCs w:val="26"/>
        </w:rPr>
        <w:t>Expositio</w:t>
      </w:r>
      <w:proofErr w:type="spellEnd"/>
      <w:r w:rsidRPr="004A18D9">
        <w:rPr>
          <w:rFonts w:ascii="Garamond" w:eastAsia="Times New Roman" w:hAnsi="Garamond" w:cs="Times New Roman"/>
          <w:i/>
          <w:sz w:val="26"/>
          <w:szCs w:val="26"/>
        </w:rPr>
        <w:t xml:space="preserve"> </w:t>
      </w:r>
      <w:proofErr w:type="spellStart"/>
      <w:r w:rsidRPr="004A18D9">
        <w:rPr>
          <w:rFonts w:ascii="Garamond" w:eastAsia="Times New Roman" w:hAnsi="Garamond" w:cs="Times New Roman"/>
          <w:i/>
          <w:sz w:val="26"/>
          <w:szCs w:val="26"/>
        </w:rPr>
        <w:t>est</w:t>
      </w:r>
      <w:proofErr w:type="spellEnd"/>
      <w:r w:rsidRPr="004A18D9">
        <w:rPr>
          <w:rFonts w:ascii="Garamond" w:eastAsia="Times New Roman" w:hAnsi="Garamond" w:cs="Times New Roman"/>
          <w:i/>
          <w:sz w:val="26"/>
          <w:szCs w:val="26"/>
        </w:rPr>
        <w:t xml:space="preserve"> optima et fortissimo in </w:t>
      </w:r>
      <w:proofErr w:type="spellStart"/>
      <w:r w:rsidRPr="004A18D9">
        <w:rPr>
          <w:rFonts w:ascii="Garamond" w:eastAsia="Times New Roman" w:hAnsi="Garamond" w:cs="Times New Roman"/>
          <w:i/>
          <w:sz w:val="26"/>
          <w:szCs w:val="26"/>
        </w:rPr>
        <w:t>lege</w:t>
      </w:r>
      <w:proofErr w:type="spellEnd"/>
      <w:r w:rsidRPr="004A18D9">
        <w:rPr>
          <w:rFonts w:ascii="Garamond" w:eastAsia="Times New Roman" w:hAnsi="Garamond" w:cs="Times New Roman"/>
          <w:i/>
          <w:sz w:val="26"/>
          <w:szCs w:val="26"/>
        </w:rPr>
        <w:t xml:space="preserve">” </w:t>
      </w:r>
      <w:r w:rsidRPr="004A18D9">
        <w:rPr>
          <w:rFonts w:ascii="Garamond" w:eastAsia="Times New Roman" w:hAnsi="Garamond" w:cs="Times New Roman"/>
          <w:sz w:val="26"/>
          <w:szCs w:val="26"/>
        </w:rPr>
        <w:t xml:space="preserve">the meaning of the words can be ascribed to its contemporary opinion in case of an ancient statute (as an external aid).  </w:t>
      </w:r>
    </w:p>
    <w:p w14:paraId="551C82BE" w14:textId="77777777" w:rsidR="00880962" w:rsidRPr="004A18D9" w:rsidRDefault="00880962" w:rsidP="00880962">
      <w:pPr>
        <w:spacing w:before="240" w:after="240"/>
        <w:ind w:left="1440"/>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In light of this, the court interpreted the word “bride” with respect to Article 16 of Universal Declaration of Human Rights which entitles, right to marriage and to found the family and also observed the right to marry a person of one’s choice as held by Supreme Court in </w:t>
      </w:r>
      <w:proofErr w:type="spellStart"/>
      <w:r w:rsidRPr="004A18D9">
        <w:rPr>
          <w:rFonts w:ascii="Garamond" w:eastAsia="Times New Roman" w:hAnsi="Garamond" w:cs="Times New Roman"/>
          <w:b/>
          <w:sz w:val="26"/>
          <w:szCs w:val="26"/>
        </w:rPr>
        <w:t>Shafin</w:t>
      </w:r>
      <w:proofErr w:type="spellEnd"/>
      <w:r w:rsidRPr="004A18D9">
        <w:rPr>
          <w:rFonts w:ascii="Garamond" w:eastAsia="Times New Roman" w:hAnsi="Garamond" w:cs="Times New Roman"/>
          <w:b/>
          <w:sz w:val="26"/>
          <w:szCs w:val="26"/>
        </w:rPr>
        <w:t xml:space="preserve"> Jahan v. Ashokan KM</w:t>
      </w:r>
      <w:r>
        <w:rPr>
          <w:rStyle w:val="FootnoteReference"/>
          <w:rFonts w:ascii="Garamond" w:eastAsia="Times New Roman" w:hAnsi="Garamond" w:cs="Times New Roman"/>
          <w:b/>
          <w:sz w:val="26"/>
          <w:szCs w:val="26"/>
        </w:rPr>
        <w:footnoteReference w:id="29"/>
      </w:r>
      <w:r w:rsidRPr="004A18D9">
        <w:rPr>
          <w:rFonts w:ascii="Garamond" w:eastAsia="Times New Roman" w:hAnsi="Garamond" w:cs="Times New Roman"/>
          <w:b/>
          <w:sz w:val="26"/>
          <w:szCs w:val="26"/>
        </w:rPr>
        <w:t xml:space="preserve">. </w:t>
      </w:r>
      <w:r w:rsidRPr="004A18D9">
        <w:rPr>
          <w:rFonts w:ascii="Garamond" w:eastAsia="Times New Roman" w:hAnsi="Garamond" w:cs="Times New Roman"/>
          <w:sz w:val="26"/>
          <w:szCs w:val="26"/>
        </w:rPr>
        <w:t xml:space="preserve"> The court also referred to K.S. </w:t>
      </w:r>
      <w:proofErr w:type="spellStart"/>
      <w:r w:rsidRPr="004A18D9">
        <w:rPr>
          <w:rFonts w:ascii="Garamond" w:eastAsia="Times New Roman" w:hAnsi="Garamond" w:cs="Times New Roman"/>
          <w:sz w:val="26"/>
          <w:szCs w:val="26"/>
        </w:rPr>
        <w:t>Puttaswamy</w:t>
      </w:r>
      <w:proofErr w:type="spellEnd"/>
      <w:r>
        <w:rPr>
          <w:rStyle w:val="FootnoteReference"/>
          <w:rFonts w:ascii="Garamond" w:eastAsia="Times New Roman" w:hAnsi="Garamond" w:cs="Times New Roman"/>
          <w:sz w:val="26"/>
          <w:szCs w:val="26"/>
        </w:rPr>
        <w:footnoteReference w:id="30"/>
      </w:r>
      <w:r w:rsidRPr="004A18D9">
        <w:rPr>
          <w:rFonts w:ascii="Garamond" w:eastAsia="Times New Roman" w:hAnsi="Garamond" w:cs="Times New Roman"/>
          <w:sz w:val="26"/>
          <w:szCs w:val="26"/>
        </w:rPr>
        <w:t xml:space="preserve"> judgement </w:t>
      </w:r>
      <w:r w:rsidRPr="004A18D9">
        <w:rPr>
          <w:rFonts w:ascii="Garamond" w:eastAsia="Times New Roman" w:hAnsi="Garamond" w:cs="Times New Roman"/>
          <w:sz w:val="26"/>
          <w:szCs w:val="26"/>
        </w:rPr>
        <w:lastRenderedPageBreak/>
        <w:t>with reference to para 194 where the supreme court recognised the legal position of United States held in Obergefell v. Hodges</w:t>
      </w:r>
      <w:r>
        <w:rPr>
          <w:rStyle w:val="FootnoteReference"/>
          <w:rFonts w:ascii="Garamond" w:eastAsia="Times New Roman" w:hAnsi="Garamond" w:cs="Times New Roman"/>
          <w:sz w:val="26"/>
          <w:szCs w:val="26"/>
        </w:rPr>
        <w:footnoteReference w:id="31"/>
      </w:r>
      <w:r w:rsidRPr="004A18D9">
        <w:rPr>
          <w:rFonts w:ascii="Garamond" w:eastAsia="Times New Roman" w:hAnsi="Garamond" w:cs="Times New Roman"/>
          <w:sz w:val="26"/>
          <w:szCs w:val="26"/>
        </w:rPr>
        <w:t>, where it was held that it is a fundamental right to marry guaranteed to same sex couples by the majority opinion.</w:t>
      </w:r>
    </w:p>
    <w:p w14:paraId="41D08AC4" w14:textId="77777777" w:rsidR="00880962" w:rsidRPr="004A18D9" w:rsidRDefault="00880962" w:rsidP="00880962">
      <w:pPr>
        <w:spacing w:before="240" w:after="240"/>
        <w:ind w:left="1440"/>
        <w:jc w:val="both"/>
        <w:rPr>
          <w:rFonts w:ascii="Garamond" w:eastAsia="Times New Roman" w:hAnsi="Garamond" w:cs="Times New Roman"/>
          <w:sz w:val="26"/>
          <w:szCs w:val="26"/>
        </w:rPr>
      </w:pPr>
      <w:r w:rsidRPr="004A18D9">
        <w:rPr>
          <w:rFonts w:ascii="Garamond" w:eastAsia="Times New Roman" w:hAnsi="Garamond" w:cs="Times New Roman"/>
          <w:sz w:val="26"/>
          <w:szCs w:val="26"/>
        </w:rPr>
        <w:t>In light of the following, the court held in Para 15 that the expression “Bride” would include not only a woman but also a trans-woman.</w:t>
      </w:r>
    </w:p>
    <w:p w14:paraId="78684F93" w14:textId="0B1FD673" w:rsidR="00880962" w:rsidRDefault="00880962" w:rsidP="00880962">
      <w:pPr>
        <w:spacing w:before="240" w:after="240"/>
        <w:ind w:left="1440"/>
        <w:jc w:val="both"/>
        <w:rPr>
          <w:rFonts w:ascii="Garamond" w:eastAsia="Times New Roman" w:hAnsi="Garamond" w:cs="Times New Roman"/>
          <w:sz w:val="26"/>
          <w:szCs w:val="26"/>
        </w:rPr>
      </w:pPr>
      <w:r w:rsidRPr="004A18D9">
        <w:rPr>
          <w:rFonts w:ascii="Garamond" w:eastAsia="Times New Roman" w:hAnsi="Garamond" w:cs="Times New Roman"/>
          <w:sz w:val="26"/>
          <w:szCs w:val="26"/>
        </w:rPr>
        <w:t>Although this case specifically deals with persons who are transgender, the reasoning of the same can lay a fundamental ground to include the same-sex marriages where the prima-facie interpretation for the determination or identification of se shall be in question. Also, the Supreme Court verdict on Right to choose a partner of own choice for marriage under Article 21, provides for a scope of solution with regards to same sex marriages.</w:t>
      </w:r>
    </w:p>
    <w:tbl>
      <w:tblPr>
        <w:tblStyle w:val="TableGridLight"/>
        <w:tblW w:w="0" w:type="auto"/>
        <w:tblLook w:val="04A0" w:firstRow="1" w:lastRow="0" w:firstColumn="1" w:lastColumn="0" w:noHBand="0" w:noVBand="1"/>
      </w:tblPr>
      <w:tblGrid>
        <w:gridCol w:w="9016"/>
      </w:tblGrid>
      <w:tr w:rsidR="00CC2CF3" w14:paraId="5FF669EA" w14:textId="77777777" w:rsidTr="00CC2CF3">
        <w:tc>
          <w:tcPr>
            <w:tcW w:w="9016" w:type="dxa"/>
          </w:tcPr>
          <w:p w14:paraId="4648551F" w14:textId="47971D06" w:rsidR="00CC2CF3" w:rsidRPr="00CC2CF3" w:rsidRDefault="00CC2CF3" w:rsidP="00CC2CF3">
            <w:pPr>
              <w:spacing w:before="240" w:after="240"/>
              <w:jc w:val="both"/>
              <w:rPr>
                <w:rFonts w:ascii="Garamond" w:eastAsia="Times New Roman" w:hAnsi="Garamond" w:cs="Times New Roman"/>
                <w:sz w:val="26"/>
                <w:szCs w:val="26"/>
              </w:rPr>
            </w:pPr>
            <w:r>
              <w:rPr>
                <w:rFonts w:ascii="Garamond" w:eastAsia="Times New Roman" w:hAnsi="Garamond" w:cs="Times New Roman"/>
                <w:i/>
                <w:iCs/>
                <w:sz w:val="26"/>
                <w:szCs w:val="26"/>
              </w:rPr>
              <w:t>Conclusion</w:t>
            </w:r>
            <w:r>
              <w:rPr>
                <w:rFonts w:ascii="Garamond" w:eastAsia="Times New Roman" w:hAnsi="Garamond" w:cs="Times New Roman"/>
                <w:sz w:val="26"/>
                <w:szCs w:val="26"/>
              </w:rPr>
              <w:t xml:space="preserve">: Right to Marry is a fundamental right under Right to Life, which along with the </w:t>
            </w:r>
            <w:proofErr w:type="gramStart"/>
            <w:r>
              <w:rPr>
                <w:rFonts w:ascii="Garamond" w:eastAsia="Times New Roman" w:hAnsi="Garamond" w:cs="Times New Roman"/>
                <w:sz w:val="26"/>
                <w:szCs w:val="26"/>
              </w:rPr>
              <w:t>terms</w:t>
            </w:r>
            <w:proofErr w:type="gramEnd"/>
            <w:r>
              <w:rPr>
                <w:rFonts w:ascii="Garamond" w:eastAsia="Times New Roman" w:hAnsi="Garamond" w:cs="Times New Roman"/>
                <w:sz w:val="26"/>
                <w:szCs w:val="26"/>
              </w:rPr>
              <w:t xml:space="preserve"> </w:t>
            </w:r>
            <w:r>
              <w:rPr>
                <w:rFonts w:ascii="Garamond" w:eastAsia="Times New Roman" w:hAnsi="Garamond" w:cs="Times New Roman"/>
                <w:b/>
                <w:bCs/>
                <w:sz w:val="26"/>
                <w:szCs w:val="26"/>
              </w:rPr>
              <w:t>bride</w:t>
            </w:r>
            <w:r>
              <w:rPr>
                <w:rFonts w:ascii="Garamond" w:eastAsia="Times New Roman" w:hAnsi="Garamond" w:cs="Times New Roman"/>
                <w:sz w:val="26"/>
                <w:szCs w:val="26"/>
              </w:rPr>
              <w:t xml:space="preserve"> and </w:t>
            </w:r>
            <w:r w:rsidRPr="00CC2CF3">
              <w:rPr>
                <w:rFonts w:ascii="Garamond" w:eastAsia="Times New Roman" w:hAnsi="Garamond" w:cs="Times New Roman"/>
                <w:b/>
                <w:bCs/>
                <w:sz w:val="26"/>
                <w:szCs w:val="26"/>
              </w:rPr>
              <w:t>bridegroom</w:t>
            </w:r>
            <w:r>
              <w:rPr>
                <w:rFonts w:ascii="Garamond" w:eastAsia="Times New Roman" w:hAnsi="Garamond" w:cs="Times New Roman"/>
                <w:sz w:val="26"/>
                <w:szCs w:val="26"/>
              </w:rPr>
              <w:t xml:space="preserve">, if </w:t>
            </w:r>
            <w:r w:rsidRPr="00CC2CF3">
              <w:rPr>
                <w:rFonts w:ascii="Garamond" w:eastAsia="Times New Roman" w:hAnsi="Garamond" w:cs="Times New Roman"/>
                <w:sz w:val="26"/>
                <w:szCs w:val="26"/>
              </w:rPr>
              <w:t>interpreted</w:t>
            </w:r>
            <w:r>
              <w:rPr>
                <w:rFonts w:ascii="Garamond" w:eastAsia="Times New Roman" w:hAnsi="Garamond" w:cs="Times New Roman"/>
                <w:sz w:val="26"/>
                <w:szCs w:val="26"/>
              </w:rPr>
              <w:t xml:space="preserve"> within the broader framework of </w:t>
            </w:r>
            <w:proofErr w:type="spellStart"/>
            <w:r>
              <w:rPr>
                <w:rFonts w:ascii="Garamond" w:eastAsia="Times New Roman" w:hAnsi="Garamond" w:cs="Times New Roman"/>
                <w:sz w:val="26"/>
                <w:szCs w:val="26"/>
              </w:rPr>
              <w:t>Contemporanea</w:t>
            </w:r>
            <w:proofErr w:type="spellEnd"/>
            <w:r>
              <w:rPr>
                <w:rFonts w:ascii="Garamond" w:eastAsia="Times New Roman" w:hAnsi="Garamond" w:cs="Times New Roman"/>
                <w:sz w:val="26"/>
                <w:szCs w:val="26"/>
              </w:rPr>
              <w:t xml:space="preserve"> </w:t>
            </w:r>
            <w:proofErr w:type="spellStart"/>
            <w:r>
              <w:rPr>
                <w:rFonts w:ascii="Garamond" w:eastAsia="Times New Roman" w:hAnsi="Garamond" w:cs="Times New Roman"/>
                <w:sz w:val="26"/>
                <w:szCs w:val="26"/>
              </w:rPr>
              <w:t>Expositio</w:t>
            </w:r>
            <w:proofErr w:type="spellEnd"/>
            <w:r>
              <w:rPr>
                <w:rFonts w:ascii="Garamond" w:eastAsia="Times New Roman" w:hAnsi="Garamond" w:cs="Times New Roman"/>
                <w:sz w:val="26"/>
                <w:szCs w:val="26"/>
              </w:rPr>
              <w:t xml:space="preserve"> would lead to provision for accommodating same sex marriage.</w:t>
            </w:r>
          </w:p>
        </w:tc>
      </w:tr>
    </w:tbl>
    <w:p w14:paraId="54C1BA74" w14:textId="77777777" w:rsidR="00880962" w:rsidRPr="00CC2CF3" w:rsidRDefault="00880962" w:rsidP="00880962">
      <w:pPr>
        <w:pStyle w:val="Heading5"/>
        <w:jc w:val="both"/>
        <w:rPr>
          <w:rFonts w:ascii="Garamond" w:hAnsi="Garamond"/>
          <w:b/>
          <w:bCs/>
          <w:color w:val="auto"/>
          <w:sz w:val="26"/>
          <w:szCs w:val="26"/>
        </w:rPr>
      </w:pPr>
      <w:r w:rsidRPr="00CC2CF3">
        <w:rPr>
          <w:rFonts w:ascii="Garamond" w:hAnsi="Garamond"/>
          <w:b/>
          <w:bCs/>
          <w:color w:val="auto"/>
          <w:sz w:val="26"/>
          <w:szCs w:val="26"/>
        </w:rPr>
        <w:t>4. Prohibited Degrees of Relation &amp; Sapinda Relationship</w:t>
      </w:r>
    </w:p>
    <w:p w14:paraId="271ADE51" w14:textId="77777777" w:rsidR="00880962" w:rsidRPr="004A18D9" w:rsidRDefault="00880962" w:rsidP="00880962">
      <w:pPr>
        <w:spacing w:before="240" w:after="240"/>
        <w:jc w:val="both"/>
        <w:rPr>
          <w:rFonts w:ascii="Garamond" w:eastAsia="Times New Roman" w:hAnsi="Garamond" w:cs="Times New Roman"/>
          <w:sz w:val="26"/>
          <w:szCs w:val="26"/>
        </w:rPr>
      </w:pPr>
      <w:r w:rsidRPr="004A18D9">
        <w:rPr>
          <w:rFonts w:ascii="Garamond" w:eastAsia="Times New Roman" w:hAnsi="Garamond" w:cs="Times New Roman"/>
          <w:sz w:val="26"/>
          <w:szCs w:val="26"/>
        </w:rPr>
        <w:t>According to Section 5 (iv), it is given that the parties shall not be within the degrees of prohibited relationship unless the custom or usage governing each of the parties permits a marriage between the two and the marriage within the parties fall under the said prohibited relationship shall be void-ab-initio. But talking about the relevancy of the section with regard to it being relevant for the current research is not viable as the provision itself is a gender-neutral provision because it in its plain wording does not talk anything about the gender.  Thus, we can say that this provision does not make the same sex marriage invalid. The same is the case with Section 5 (v), which provides that the parties to the marriage shall not be sapinda of each other, unless the custom or usage governing each of them permits a marriage between the two. This provision is also not of much significance while talking about the scope of same sex marriage as this provision is also gender neutral and the gender of the parties does not create any difference to the validity of the marriage under the said provisions.</w:t>
      </w:r>
    </w:p>
    <w:p w14:paraId="4CCF8BA9" w14:textId="77777777" w:rsidR="00880962" w:rsidRPr="00070777" w:rsidRDefault="00880962" w:rsidP="00880962">
      <w:pPr>
        <w:pStyle w:val="Heading3"/>
        <w:jc w:val="both"/>
        <w:rPr>
          <w:rFonts w:ascii="Garamond" w:hAnsi="Garamond"/>
          <w:color w:val="auto"/>
          <w:sz w:val="26"/>
          <w:szCs w:val="26"/>
        </w:rPr>
      </w:pPr>
      <w:r w:rsidRPr="00070777">
        <w:rPr>
          <w:rFonts w:ascii="Garamond" w:hAnsi="Garamond"/>
          <w:color w:val="auto"/>
          <w:sz w:val="26"/>
          <w:szCs w:val="26"/>
        </w:rPr>
        <w:t>Summary Analysis for accommodating a Same-sex marriage in accordance with Section 5:</w:t>
      </w:r>
    </w:p>
    <w:tbl>
      <w:tblPr>
        <w:tblStyle w:val="TableGrid"/>
        <w:tblW w:w="0" w:type="auto"/>
        <w:tblLook w:val="04A0" w:firstRow="1" w:lastRow="0" w:firstColumn="1" w:lastColumn="0" w:noHBand="0" w:noVBand="1"/>
      </w:tblPr>
      <w:tblGrid>
        <w:gridCol w:w="3005"/>
        <w:gridCol w:w="3005"/>
        <w:gridCol w:w="3006"/>
      </w:tblGrid>
      <w:tr w:rsidR="00880962" w:rsidRPr="00CC2CF3" w14:paraId="785B7176" w14:textId="77777777" w:rsidTr="001C6F57">
        <w:tc>
          <w:tcPr>
            <w:tcW w:w="3005" w:type="dxa"/>
          </w:tcPr>
          <w:p w14:paraId="788CD0DF" w14:textId="77777777" w:rsidR="00880962" w:rsidRPr="00CC2CF3" w:rsidRDefault="00880962" w:rsidP="001C6F57">
            <w:pPr>
              <w:jc w:val="both"/>
              <w:rPr>
                <w:rFonts w:ascii="Garamond" w:hAnsi="Garamond"/>
                <w:b/>
                <w:bCs/>
                <w:sz w:val="26"/>
                <w:szCs w:val="26"/>
              </w:rPr>
            </w:pPr>
            <w:r w:rsidRPr="00CC2CF3">
              <w:rPr>
                <w:rFonts w:ascii="Garamond" w:hAnsi="Garamond"/>
                <w:b/>
                <w:bCs/>
                <w:sz w:val="26"/>
                <w:szCs w:val="26"/>
              </w:rPr>
              <w:t>Condition</w:t>
            </w:r>
          </w:p>
        </w:tc>
        <w:tc>
          <w:tcPr>
            <w:tcW w:w="3005" w:type="dxa"/>
          </w:tcPr>
          <w:p w14:paraId="4D35F1D9" w14:textId="56141EA9" w:rsidR="00880962" w:rsidRPr="00CC2CF3" w:rsidRDefault="00C03619" w:rsidP="001C6F57">
            <w:pPr>
              <w:jc w:val="both"/>
              <w:rPr>
                <w:rFonts w:ascii="Garamond" w:hAnsi="Garamond"/>
                <w:b/>
                <w:bCs/>
                <w:sz w:val="26"/>
                <w:szCs w:val="26"/>
              </w:rPr>
            </w:pPr>
            <w:r w:rsidRPr="00CC2CF3">
              <w:rPr>
                <w:rFonts w:ascii="Garamond" w:hAnsi="Garamond"/>
                <w:b/>
                <w:bCs/>
                <w:sz w:val="26"/>
                <w:szCs w:val="26"/>
              </w:rPr>
              <w:t>Accommodative</w:t>
            </w:r>
            <w:r w:rsidR="00880962" w:rsidRPr="00CC2CF3">
              <w:rPr>
                <w:rFonts w:ascii="Garamond" w:hAnsi="Garamond"/>
                <w:b/>
                <w:bCs/>
                <w:sz w:val="26"/>
                <w:szCs w:val="26"/>
              </w:rPr>
              <w:t>?</w:t>
            </w:r>
          </w:p>
        </w:tc>
        <w:tc>
          <w:tcPr>
            <w:tcW w:w="3006" w:type="dxa"/>
          </w:tcPr>
          <w:p w14:paraId="298BEEF8" w14:textId="77777777" w:rsidR="00880962" w:rsidRPr="00CC2CF3" w:rsidRDefault="00880962" w:rsidP="001C6F57">
            <w:pPr>
              <w:jc w:val="both"/>
              <w:rPr>
                <w:rFonts w:ascii="Garamond" w:hAnsi="Garamond"/>
                <w:b/>
                <w:bCs/>
                <w:sz w:val="26"/>
                <w:szCs w:val="26"/>
              </w:rPr>
            </w:pPr>
            <w:r w:rsidRPr="00CC2CF3">
              <w:rPr>
                <w:rFonts w:ascii="Garamond" w:hAnsi="Garamond"/>
                <w:b/>
                <w:bCs/>
                <w:sz w:val="26"/>
                <w:szCs w:val="26"/>
              </w:rPr>
              <w:t>Reason</w:t>
            </w:r>
          </w:p>
        </w:tc>
      </w:tr>
      <w:tr w:rsidR="00880962" w:rsidRPr="00CC2CF3" w14:paraId="4FB95D03" w14:textId="77777777" w:rsidTr="001C6F57">
        <w:tc>
          <w:tcPr>
            <w:tcW w:w="3005" w:type="dxa"/>
          </w:tcPr>
          <w:p w14:paraId="671CC61C" w14:textId="77777777" w:rsidR="00880962" w:rsidRPr="00CC2CF3" w:rsidRDefault="00880962" w:rsidP="001C6F57">
            <w:pPr>
              <w:jc w:val="both"/>
              <w:rPr>
                <w:rFonts w:ascii="Garamond" w:hAnsi="Garamond"/>
                <w:sz w:val="26"/>
                <w:szCs w:val="26"/>
              </w:rPr>
            </w:pPr>
            <w:r w:rsidRPr="00CC2CF3">
              <w:rPr>
                <w:rFonts w:ascii="Garamond" w:hAnsi="Garamond"/>
                <w:sz w:val="26"/>
                <w:szCs w:val="26"/>
              </w:rPr>
              <w:t>Monogamy</w:t>
            </w:r>
          </w:p>
        </w:tc>
        <w:tc>
          <w:tcPr>
            <w:tcW w:w="3005" w:type="dxa"/>
          </w:tcPr>
          <w:p w14:paraId="55E8FEF5" w14:textId="77777777" w:rsidR="00880962" w:rsidRPr="00CC2CF3" w:rsidRDefault="00880962" w:rsidP="001C6F57">
            <w:pPr>
              <w:jc w:val="both"/>
              <w:rPr>
                <w:rFonts w:ascii="Garamond" w:hAnsi="Garamond"/>
                <w:sz w:val="26"/>
                <w:szCs w:val="26"/>
              </w:rPr>
            </w:pPr>
            <w:r w:rsidRPr="00CC2CF3">
              <w:rPr>
                <w:rFonts w:ascii="Garamond" w:hAnsi="Garamond"/>
                <w:sz w:val="26"/>
                <w:szCs w:val="26"/>
              </w:rPr>
              <w:t>Yes</w:t>
            </w:r>
          </w:p>
        </w:tc>
        <w:tc>
          <w:tcPr>
            <w:tcW w:w="3006" w:type="dxa"/>
          </w:tcPr>
          <w:p w14:paraId="6689CE39" w14:textId="716DA7C1" w:rsidR="00880962" w:rsidRPr="00CC2CF3" w:rsidRDefault="00880962" w:rsidP="001C6F57">
            <w:pPr>
              <w:jc w:val="both"/>
              <w:rPr>
                <w:rFonts w:ascii="Garamond" w:hAnsi="Garamond"/>
                <w:sz w:val="26"/>
                <w:szCs w:val="26"/>
              </w:rPr>
            </w:pPr>
            <w:r w:rsidRPr="00CC2CF3">
              <w:rPr>
                <w:rFonts w:ascii="Garamond" w:hAnsi="Garamond"/>
                <w:sz w:val="26"/>
                <w:szCs w:val="26"/>
              </w:rPr>
              <w:t>No express bar on same-sex marriage</w:t>
            </w:r>
            <w:r w:rsidR="00C03619">
              <w:rPr>
                <w:rFonts w:ascii="Garamond" w:hAnsi="Garamond"/>
                <w:sz w:val="26"/>
                <w:szCs w:val="26"/>
              </w:rPr>
              <w:t xml:space="preserve">. </w:t>
            </w:r>
            <w:proofErr w:type="gramStart"/>
            <w:r w:rsidR="00C03619">
              <w:rPr>
                <w:rFonts w:ascii="Garamond" w:hAnsi="Garamond"/>
                <w:sz w:val="26"/>
                <w:szCs w:val="26"/>
              </w:rPr>
              <w:t>But,</w:t>
            </w:r>
            <w:proofErr w:type="gramEnd"/>
            <w:r w:rsidR="00C03619">
              <w:rPr>
                <w:rFonts w:ascii="Garamond" w:hAnsi="Garamond"/>
                <w:sz w:val="26"/>
                <w:szCs w:val="26"/>
              </w:rPr>
              <w:t xml:space="preserve"> a party shall not have a homosexual and another heterosexual marriage.</w:t>
            </w:r>
          </w:p>
        </w:tc>
      </w:tr>
      <w:tr w:rsidR="00880962" w:rsidRPr="00CC2CF3" w14:paraId="5D9E6CBB" w14:textId="77777777" w:rsidTr="001C6F57">
        <w:tc>
          <w:tcPr>
            <w:tcW w:w="3005" w:type="dxa"/>
          </w:tcPr>
          <w:p w14:paraId="1532230B" w14:textId="77777777" w:rsidR="00880962" w:rsidRPr="00CC2CF3" w:rsidRDefault="00880962" w:rsidP="001C6F57">
            <w:pPr>
              <w:jc w:val="both"/>
              <w:rPr>
                <w:rFonts w:ascii="Garamond" w:hAnsi="Garamond"/>
                <w:sz w:val="26"/>
                <w:szCs w:val="26"/>
              </w:rPr>
            </w:pPr>
            <w:r w:rsidRPr="00CC2CF3">
              <w:rPr>
                <w:rFonts w:ascii="Garamond" w:hAnsi="Garamond"/>
                <w:sz w:val="26"/>
                <w:szCs w:val="26"/>
              </w:rPr>
              <w:t>Valid Consent</w:t>
            </w:r>
          </w:p>
        </w:tc>
        <w:tc>
          <w:tcPr>
            <w:tcW w:w="3005" w:type="dxa"/>
          </w:tcPr>
          <w:p w14:paraId="3F772680" w14:textId="77777777" w:rsidR="00880962" w:rsidRPr="00CC2CF3" w:rsidRDefault="00880962" w:rsidP="001C6F57">
            <w:pPr>
              <w:jc w:val="both"/>
              <w:rPr>
                <w:rFonts w:ascii="Garamond" w:hAnsi="Garamond"/>
                <w:sz w:val="26"/>
                <w:szCs w:val="26"/>
              </w:rPr>
            </w:pPr>
            <w:r w:rsidRPr="00CC2CF3">
              <w:rPr>
                <w:rFonts w:ascii="Garamond" w:hAnsi="Garamond"/>
                <w:sz w:val="26"/>
                <w:szCs w:val="26"/>
              </w:rPr>
              <w:t>Yes</w:t>
            </w:r>
          </w:p>
        </w:tc>
        <w:tc>
          <w:tcPr>
            <w:tcW w:w="3006" w:type="dxa"/>
          </w:tcPr>
          <w:p w14:paraId="590CDD9B" w14:textId="77777777" w:rsidR="00880962" w:rsidRPr="00CC2CF3" w:rsidRDefault="00880962" w:rsidP="001C6F57">
            <w:pPr>
              <w:jc w:val="both"/>
              <w:rPr>
                <w:rFonts w:ascii="Garamond" w:hAnsi="Garamond"/>
                <w:sz w:val="26"/>
                <w:szCs w:val="26"/>
              </w:rPr>
            </w:pPr>
            <w:r w:rsidRPr="00CC2CF3">
              <w:rPr>
                <w:rFonts w:ascii="Garamond" w:hAnsi="Garamond"/>
                <w:sz w:val="26"/>
                <w:szCs w:val="26"/>
              </w:rPr>
              <w:t>Parties have capacity to consent</w:t>
            </w:r>
          </w:p>
        </w:tc>
      </w:tr>
      <w:tr w:rsidR="00880962" w:rsidRPr="00CC2CF3" w14:paraId="0C6ECB46" w14:textId="77777777" w:rsidTr="001C6F57">
        <w:tc>
          <w:tcPr>
            <w:tcW w:w="3005" w:type="dxa"/>
          </w:tcPr>
          <w:p w14:paraId="21BE3194" w14:textId="77777777" w:rsidR="00880962" w:rsidRPr="00CC2CF3" w:rsidRDefault="00880962" w:rsidP="001C6F57">
            <w:pPr>
              <w:jc w:val="both"/>
              <w:rPr>
                <w:rFonts w:ascii="Garamond" w:hAnsi="Garamond"/>
                <w:sz w:val="26"/>
                <w:szCs w:val="26"/>
              </w:rPr>
            </w:pPr>
            <w:r w:rsidRPr="00CC2CF3">
              <w:rPr>
                <w:rFonts w:ascii="Garamond" w:hAnsi="Garamond"/>
                <w:sz w:val="26"/>
                <w:szCs w:val="26"/>
              </w:rPr>
              <w:t xml:space="preserve">Mental Disorder leading to be </w:t>
            </w:r>
            <w:proofErr w:type="gramStart"/>
            <w:r w:rsidRPr="00CC2CF3">
              <w:rPr>
                <w:rFonts w:ascii="Garamond" w:hAnsi="Garamond"/>
                <w:sz w:val="26"/>
                <w:szCs w:val="26"/>
              </w:rPr>
              <w:t>unfit</w:t>
            </w:r>
            <w:proofErr w:type="gramEnd"/>
            <w:r w:rsidRPr="00CC2CF3">
              <w:rPr>
                <w:rFonts w:ascii="Garamond" w:hAnsi="Garamond"/>
                <w:sz w:val="26"/>
                <w:szCs w:val="26"/>
              </w:rPr>
              <w:t xml:space="preserve"> for procreation of children</w:t>
            </w:r>
          </w:p>
        </w:tc>
        <w:tc>
          <w:tcPr>
            <w:tcW w:w="3005" w:type="dxa"/>
          </w:tcPr>
          <w:p w14:paraId="1880C6F8" w14:textId="77777777" w:rsidR="00880962" w:rsidRPr="00CC2CF3" w:rsidRDefault="00880962" w:rsidP="001C6F57">
            <w:pPr>
              <w:jc w:val="both"/>
              <w:rPr>
                <w:rFonts w:ascii="Garamond" w:hAnsi="Garamond"/>
                <w:sz w:val="26"/>
                <w:szCs w:val="26"/>
              </w:rPr>
            </w:pPr>
            <w:r w:rsidRPr="00CC2CF3">
              <w:rPr>
                <w:rFonts w:ascii="Garamond" w:hAnsi="Garamond"/>
                <w:sz w:val="26"/>
                <w:szCs w:val="26"/>
              </w:rPr>
              <w:t>Yes</w:t>
            </w:r>
          </w:p>
          <w:p w14:paraId="1F5DE785" w14:textId="107E93CD" w:rsidR="00880962" w:rsidRPr="00CC2CF3" w:rsidRDefault="00880962" w:rsidP="001C6F57">
            <w:pPr>
              <w:jc w:val="both"/>
              <w:rPr>
                <w:rFonts w:ascii="Garamond" w:hAnsi="Garamond"/>
                <w:sz w:val="26"/>
                <w:szCs w:val="26"/>
              </w:rPr>
            </w:pPr>
            <w:r w:rsidRPr="00CC2CF3">
              <w:rPr>
                <w:rFonts w:ascii="Garamond" w:hAnsi="Garamond"/>
                <w:sz w:val="26"/>
                <w:szCs w:val="26"/>
              </w:rPr>
              <w:t>(Discretion of Court if challenged</w:t>
            </w:r>
            <w:r w:rsidR="00CC2CF3">
              <w:rPr>
                <w:rFonts w:ascii="Garamond" w:hAnsi="Garamond"/>
                <w:sz w:val="26"/>
                <w:szCs w:val="26"/>
              </w:rPr>
              <w:t xml:space="preserve"> – but choice of parties</w:t>
            </w:r>
            <w:r w:rsidRPr="00CC2CF3">
              <w:rPr>
                <w:rFonts w:ascii="Garamond" w:hAnsi="Garamond"/>
                <w:sz w:val="26"/>
                <w:szCs w:val="26"/>
              </w:rPr>
              <w:t>)</w:t>
            </w:r>
          </w:p>
        </w:tc>
        <w:tc>
          <w:tcPr>
            <w:tcW w:w="3006" w:type="dxa"/>
          </w:tcPr>
          <w:p w14:paraId="7087A178" w14:textId="77777777" w:rsidR="00880962" w:rsidRPr="00CC2CF3" w:rsidRDefault="00880962" w:rsidP="001C6F57">
            <w:pPr>
              <w:jc w:val="both"/>
              <w:rPr>
                <w:rFonts w:ascii="Garamond" w:hAnsi="Garamond"/>
                <w:sz w:val="26"/>
                <w:szCs w:val="26"/>
              </w:rPr>
            </w:pPr>
            <w:r w:rsidRPr="00CC2CF3">
              <w:rPr>
                <w:rFonts w:ascii="Garamond" w:hAnsi="Garamond"/>
                <w:sz w:val="26"/>
                <w:szCs w:val="26"/>
              </w:rPr>
              <w:t xml:space="preserve">Since this is a voidable ground, the parties can exercise discretion of having sufficient knowledge that </w:t>
            </w:r>
            <w:r w:rsidRPr="00CC2CF3">
              <w:rPr>
                <w:rFonts w:ascii="Garamond" w:hAnsi="Garamond"/>
                <w:sz w:val="26"/>
                <w:szCs w:val="26"/>
              </w:rPr>
              <w:lastRenderedPageBreak/>
              <w:t xml:space="preserve">they shall not be able to reproduce. </w:t>
            </w:r>
          </w:p>
          <w:p w14:paraId="1E4A75BA" w14:textId="77777777" w:rsidR="00880962" w:rsidRPr="00CC2CF3" w:rsidRDefault="00880962" w:rsidP="001C6F57">
            <w:pPr>
              <w:jc w:val="both"/>
              <w:rPr>
                <w:rFonts w:ascii="Garamond" w:hAnsi="Garamond"/>
                <w:sz w:val="26"/>
                <w:szCs w:val="26"/>
              </w:rPr>
            </w:pPr>
          </w:p>
          <w:p w14:paraId="4E5D1492" w14:textId="77777777" w:rsidR="00880962" w:rsidRDefault="00880962" w:rsidP="001C6F57">
            <w:pPr>
              <w:jc w:val="both"/>
              <w:rPr>
                <w:rFonts w:ascii="Garamond" w:hAnsi="Garamond"/>
                <w:sz w:val="26"/>
                <w:szCs w:val="26"/>
              </w:rPr>
            </w:pPr>
            <w:r w:rsidRPr="00CC2CF3">
              <w:rPr>
                <w:rFonts w:ascii="Garamond" w:hAnsi="Garamond"/>
                <w:sz w:val="26"/>
                <w:szCs w:val="26"/>
              </w:rPr>
              <w:t>The discretion of court shall be in determining whether the mindset of same-sex couple is within mental disorder or not.</w:t>
            </w:r>
          </w:p>
          <w:p w14:paraId="5BCC0CDC" w14:textId="77777777" w:rsidR="00C03619" w:rsidRDefault="00C03619" w:rsidP="001C6F57">
            <w:pPr>
              <w:jc w:val="both"/>
              <w:rPr>
                <w:rFonts w:ascii="Garamond" w:hAnsi="Garamond"/>
                <w:sz w:val="26"/>
                <w:szCs w:val="26"/>
              </w:rPr>
            </w:pPr>
          </w:p>
          <w:p w14:paraId="2993213C" w14:textId="24B1353A" w:rsidR="00C03619" w:rsidRPr="00CC2CF3" w:rsidRDefault="00C03619" w:rsidP="001C6F57">
            <w:pPr>
              <w:jc w:val="both"/>
              <w:rPr>
                <w:rFonts w:ascii="Garamond" w:hAnsi="Garamond"/>
                <w:sz w:val="26"/>
                <w:szCs w:val="26"/>
              </w:rPr>
            </w:pPr>
            <w:r>
              <w:rPr>
                <w:rFonts w:ascii="Garamond" w:hAnsi="Garamond"/>
                <w:sz w:val="26"/>
                <w:szCs w:val="26"/>
              </w:rPr>
              <w:t xml:space="preserve">From perspective of </w:t>
            </w:r>
            <w:proofErr w:type="spellStart"/>
            <w:r>
              <w:rPr>
                <w:rFonts w:ascii="Garamond" w:hAnsi="Garamond"/>
                <w:sz w:val="26"/>
                <w:szCs w:val="26"/>
              </w:rPr>
              <w:t>Shastric</w:t>
            </w:r>
            <w:proofErr w:type="spellEnd"/>
            <w:r>
              <w:rPr>
                <w:rFonts w:ascii="Garamond" w:hAnsi="Garamond"/>
                <w:sz w:val="26"/>
                <w:szCs w:val="26"/>
              </w:rPr>
              <w:t xml:space="preserve"> Law, such marriage would not satisfy the intent of legislature.</w:t>
            </w:r>
          </w:p>
        </w:tc>
      </w:tr>
      <w:tr w:rsidR="00880962" w:rsidRPr="00CC2CF3" w14:paraId="4FB453A6" w14:textId="77777777" w:rsidTr="001C6F57">
        <w:tc>
          <w:tcPr>
            <w:tcW w:w="3005" w:type="dxa"/>
          </w:tcPr>
          <w:p w14:paraId="1178F30E" w14:textId="77777777" w:rsidR="00880962" w:rsidRPr="00CC2CF3" w:rsidRDefault="00880962" w:rsidP="001C6F57">
            <w:pPr>
              <w:jc w:val="both"/>
              <w:rPr>
                <w:rFonts w:ascii="Garamond" w:hAnsi="Garamond"/>
                <w:sz w:val="26"/>
                <w:szCs w:val="26"/>
              </w:rPr>
            </w:pPr>
            <w:r w:rsidRPr="00CC2CF3">
              <w:rPr>
                <w:rFonts w:ascii="Garamond" w:hAnsi="Garamond"/>
                <w:sz w:val="26"/>
                <w:szCs w:val="26"/>
              </w:rPr>
              <w:lastRenderedPageBreak/>
              <w:t>Recurrent attacks of insanity</w:t>
            </w:r>
          </w:p>
        </w:tc>
        <w:tc>
          <w:tcPr>
            <w:tcW w:w="3005" w:type="dxa"/>
          </w:tcPr>
          <w:p w14:paraId="68112385" w14:textId="77777777" w:rsidR="00880962" w:rsidRPr="00CC2CF3" w:rsidRDefault="00880962" w:rsidP="001C6F57">
            <w:pPr>
              <w:jc w:val="both"/>
              <w:rPr>
                <w:rFonts w:ascii="Garamond" w:hAnsi="Garamond"/>
                <w:sz w:val="26"/>
                <w:szCs w:val="26"/>
              </w:rPr>
            </w:pPr>
            <w:r w:rsidRPr="00CC2CF3">
              <w:rPr>
                <w:rFonts w:ascii="Garamond" w:hAnsi="Garamond"/>
                <w:sz w:val="26"/>
                <w:szCs w:val="26"/>
              </w:rPr>
              <w:t>Yes</w:t>
            </w:r>
          </w:p>
        </w:tc>
        <w:tc>
          <w:tcPr>
            <w:tcW w:w="3006" w:type="dxa"/>
          </w:tcPr>
          <w:p w14:paraId="748C916F" w14:textId="77777777" w:rsidR="00880962" w:rsidRPr="00CC2CF3" w:rsidRDefault="00880962" w:rsidP="001C6F57">
            <w:pPr>
              <w:jc w:val="both"/>
              <w:rPr>
                <w:rFonts w:ascii="Garamond" w:hAnsi="Garamond"/>
                <w:sz w:val="26"/>
                <w:szCs w:val="26"/>
              </w:rPr>
            </w:pPr>
            <w:r w:rsidRPr="00CC2CF3">
              <w:rPr>
                <w:rFonts w:ascii="Garamond" w:hAnsi="Garamond"/>
                <w:sz w:val="26"/>
                <w:szCs w:val="26"/>
              </w:rPr>
              <w:t>Gender neutral provision</w:t>
            </w:r>
          </w:p>
        </w:tc>
      </w:tr>
      <w:tr w:rsidR="00880962" w:rsidRPr="00CC2CF3" w14:paraId="5C714ABC" w14:textId="77777777" w:rsidTr="001C6F57">
        <w:tc>
          <w:tcPr>
            <w:tcW w:w="3005" w:type="dxa"/>
          </w:tcPr>
          <w:p w14:paraId="53F9D8C0" w14:textId="77777777" w:rsidR="00880962" w:rsidRPr="00CC2CF3" w:rsidRDefault="00880962" w:rsidP="001C6F57">
            <w:pPr>
              <w:jc w:val="both"/>
              <w:rPr>
                <w:rFonts w:ascii="Garamond" w:hAnsi="Garamond"/>
                <w:sz w:val="26"/>
                <w:szCs w:val="26"/>
              </w:rPr>
            </w:pPr>
            <w:r w:rsidRPr="00CC2CF3">
              <w:rPr>
                <w:rFonts w:ascii="Garamond" w:hAnsi="Garamond"/>
                <w:sz w:val="26"/>
                <w:szCs w:val="26"/>
              </w:rPr>
              <w:t>Age</w:t>
            </w:r>
          </w:p>
        </w:tc>
        <w:tc>
          <w:tcPr>
            <w:tcW w:w="3005" w:type="dxa"/>
          </w:tcPr>
          <w:p w14:paraId="32FD2899" w14:textId="77777777" w:rsidR="00880962" w:rsidRPr="00CC2CF3" w:rsidRDefault="00880962" w:rsidP="001C6F57">
            <w:pPr>
              <w:jc w:val="both"/>
              <w:rPr>
                <w:rFonts w:ascii="Garamond" w:hAnsi="Garamond"/>
                <w:i/>
                <w:iCs/>
                <w:sz w:val="26"/>
                <w:szCs w:val="26"/>
              </w:rPr>
            </w:pPr>
            <w:r w:rsidRPr="00CC2CF3">
              <w:rPr>
                <w:rFonts w:ascii="Garamond" w:hAnsi="Garamond"/>
                <w:sz w:val="26"/>
                <w:szCs w:val="26"/>
              </w:rPr>
              <w:t xml:space="preserve">Yes </w:t>
            </w:r>
            <w:r w:rsidRPr="00CC2CF3">
              <w:rPr>
                <w:rFonts w:ascii="Garamond" w:hAnsi="Garamond"/>
                <w:i/>
                <w:iCs/>
                <w:sz w:val="26"/>
                <w:szCs w:val="26"/>
              </w:rPr>
              <w:t>prima-facie</w:t>
            </w:r>
          </w:p>
          <w:p w14:paraId="350B502C" w14:textId="77777777" w:rsidR="00880962" w:rsidRPr="00CC2CF3" w:rsidRDefault="00880962" w:rsidP="001C6F57">
            <w:pPr>
              <w:jc w:val="both"/>
              <w:rPr>
                <w:rFonts w:ascii="Garamond" w:hAnsi="Garamond"/>
                <w:i/>
                <w:iCs/>
                <w:sz w:val="26"/>
                <w:szCs w:val="26"/>
              </w:rPr>
            </w:pPr>
          </w:p>
          <w:p w14:paraId="0E0F729E" w14:textId="77777777" w:rsidR="00880962" w:rsidRPr="00CC2CF3" w:rsidRDefault="00880962" w:rsidP="001C6F57">
            <w:pPr>
              <w:jc w:val="both"/>
              <w:rPr>
                <w:rFonts w:ascii="Garamond" w:hAnsi="Garamond"/>
                <w:sz w:val="26"/>
                <w:szCs w:val="26"/>
              </w:rPr>
            </w:pPr>
            <w:r w:rsidRPr="00CC2CF3">
              <w:rPr>
                <w:rFonts w:ascii="Garamond" w:hAnsi="Garamond"/>
                <w:sz w:val="26"/>
                <w:szCs w:val="26"/>
              </w:rPr>
              <w:t>(Discretion of court to allow one of the parties to identify as bride/bridegroom)</w:t>
            </w:r>
          </w:p>
        </w:tc>
        <w:tc>
          <w:tcPr>
            <w:tcW w:w="3006" w:type="dxa"/>
          </w:tcPr>
          <w:p w14:paraId="01ACC795" w14:textId="77777777" w:rsidR="00880962" w:rsidRPr="00CC2CF3" w:rsidRDefault="00880962" w:rsidP="001C6F57">
            <w:pPr>
              <w:jc w:val="both"/>
              <w:rPr>
                <w:rFonts w:ascii="Garamond" w:hAnsi="Garamond"/>
                <w:sz w:val="26"/>
                <w:szCs w:val="26"/>
              </w:rPr>
            </w:pPr>
            <w:r w:rsidRPr="00CC2CF3">
              <w:rPr>
                <w:rFonts w:ascii="Garamond" w:hAnsi="Garamond"/>
                <w:sz w:val="26"/>
                <w:szCs w:val="26"/>
              </w:rPr>
              <w:t>Widening the ambit of Article 21’s Right to Choose Partner of own Choice read with the aforesaid mentioned judgements and a wider interpretation of Right of Self Determination (Restricted for Private law), accommodation on discretion of court can be sufficiently made.</w:t>
            </w:r>
          </w:p>
        </w:tc>
      </w:tr>
      <w:tr w:rsidR="00880962" w:rsidRPr="00CC2CF3" w14:paraId="47AE8567" w14:textId="77777777" w:rsidTr="001C6F57">
        <w:tc>
          <w:tcPr>
            <w:tcW w:w="3005" w:type="dxa"/>
          </w:tcPr>
          <w:p w14:paraId="014D0391" w14:textId="77777777" w:rsidR="00880962" w:rsidRPr="00CC2CF3" w:rsidRDefault="00880962" w:rsidP="001C6F57">
            <w:pPr>
              <w:jc w:val="both"/>
              <w:rPr>
                <w:rFonts w:ascii="Garamond" w:hAnsi="Garamond"/>
                <w:sz w:val="26"/>
                <w:szCs w:val="26"/>
              </w:rPr>
            </w:pPr>
            <w:r w:rsidRPr="00CC2CF3">
              <w:rPr>
                <w:rFonts w:ascii="Garamond" w:hAnsi="Garamond"/>
                <w:sz w:val="26"/>
                <w:szCs w:val="26"/>
              </w:rPr>
              <w:t>Prohibited Degrees of Relation</w:t>
            </w:r>
          </w:p>
        </w:tc>
        <w:tc>
          <w:tcPr>
            <w:tcW w:w="3005" w:type="dxa"/>
          </w:tcPr>
          <w:p w14:paraId="028E800F" w14:textId="77777777" w:rsidR="00880962" w:rsidRPr="00CC2CF3" w:rsidRDefault="00880962" w:rsidP="001C6F57">
            <w:pPr>
              <w:jc w:val="both"/>
              <w:rPr>
                <w:rFonts w:ascii="Garamond" w:hAnsi="Garamond"/>
                <w:sz w:val="26"/>
                <w:szCs w:val="26"/>
              </w:rPr>
            </w:pPr>
            <w:r w:rsidRPr="00CC2CF3">
              <w:rPr>
                <w:rFonts w:ascii="Garamond" w:hAnsi="Garamond"/>
                <w:sz w:val="26"/>
                <w:szCs w:val="26"/>
              </w:rPr>
              <w:t>Yes</w:t>
            </w:r>
          </w:p>
        </w:tc>
        <w:tc>
          <w:tcPr>
            <w:tcW w:w="3006" w:type="dxa"/>
          </w:tcPr>
          <w:p w14:paraId="2FD383A3" w14:textId="77777777" w:rsidR="00880962" w:rsidRPr="00CC2CF3" w:rsidRDefault="00880962" w:rsidP="001C6F57">
            <w:pPr>
              <w:jc w:val="both"/>
              <w:rPr>
                <w:rFonts w:ascii="Garamond" w:hAnsi="Garamond"/>
                <w:sz w:val="26"/>
                <w:szCs w:val="26"/>
              </w:rPr>
            </w:pPr>
            <w:r w:rsidRPr="00CC2CF3">
              <w:rPr>
                <w:rFonts w:ascii="Garamond" w:hAnsi="Garamond"/>
                <w:sz w:val="26"/>
                <w:szCs w:val="26"/>
              </w:rPr>
              <w:t>Gender Neutral</w:t>
            </w:r>
          </w:p>
          <w:p w14:paraId="606DCE6D" w14:textId="77777777" w:rsidR="00880962" w:rsidRPr="00CC2CF3" w:rsidRDefault="00880962" w:rsidP="001C6F57">
            <w:pPr>
              <w:jc w:val="both"/>
              <w:rPr>
                <w:rFonts w:ascii="Garamond" w:hAnsi="Garamond"/>
                <w:sz w:val="26"/>
                <w:szCs w:val="26"/>
              </w:rPr>
            </w:pPr>
          </w:p>
          <w:p w14:paraId="6F9524B7" w14:textId="447922F5" w:rsidR="00880962" w:rsidRPr="00CC2CF3" w:rsidRDefault="00880962" w:rsidP="001C6F57">
            <w:pPr>
              <w:jc w:val="both"/>
              <w:rPr>
                <w:rFonts w:ascii="Garamond" w:hAnsi="Garamond"/>
                <w:sz w:val="26"/>
                <w:szCs w:val="26"/>
              </w:rPr>
            </w:pPr>
            <w:r w:rsidRPr="00CC2CF3">
              <w:rPr>
                <w:rFonts w:ascii="Garamond" w:hAnsi="Garamond"/>
                <w:sz w:val="26"/>
                <w:szCs w:val="26"/>
              </w:rPr>
              <w:t>The question of Prohibited Degrees of Relation could be skipped whereas the rationale of Sapinda/Relations in family would itself not stand foundational. But prima facie even if this were to be followed, Prohibited Degrees of Relation is not barring same sex marriage.</w:t>
            </w:r>
          </w:p>
        </w:tc>
      </w:tr>
      <w:tr w:rsidR="00880962" w:rsidRPr="00CC2CF3" w14:paraId="1E3EAFE2" w14:textId="77777777" w:rsidTr="001C6F57">
        <w:tc>
          <w:tcPr>
            <w:tcW w:w="3005" w:type="dxa"/>
          </w:tcPr>
          <w:p w14:paraId="0D40A340" w14:textId="77777777" w:rsidR="00880962" w:rsidRPr="00CC2CF3" w:rsidRDefault="00880962" w:rsidP="001C6F57">
            <w:pPr>
              <w:jc w:val="both"/>
              <w:rPr>
                <w:rFonts w:ascii="Garamond" w:hAnsi="Garamond"/>
                <w:sz w:val="26"/>
                <w:szCs w:val="26"/>
              </w:rPr>
            </w:pPr>
            <w:r w:rsidRPr="00CC2CF3">
              <w:rPr>
                <w:rFonts w:ascii="Garamond" w:hAnsi="Garamond"/>
                <w:sz w:val="26"/>
                <w:szCs w:val="26"/>
              </w:rPr>
              <w:t>Sapinda Relation(s)</w:t>
            </w:r>
          </w:p>
        </w:tc>
        <w:tc>
          <w:tcPr>
            <w:tcW w:w="3005" w:type="dxa"/>
          </w:tcPr>
          <w:p w14:paraId="03C39822" w14:textId="77777777" w:rsidR="00880962" w:rsidRPr="00CC2CF3" w:rsidRDefault="00880962" w:rsidP="001C6F57">
            <w:pPr>
              <w:jc w:val="both"/>
              <w:rPr>
                <w:rFonts w:ascii="Garamond" w:hAnsi="Garamond"/>
                <w:sz w:val="26"/>
                <w:szCs w:val="26"/>
              </w:rPr>
            </w:pPr>
            <w:r w:rsidRPr="00CC2CF3">
              <w:rPr>
                <w:rFonts w:ascii="Garamond" w:hAnsi="Garamond"/>
                <w:sz w:val="26"/>
                <w:szCs w:val="26"/>
              </w:rPr>
              <w:t>Yes</w:t>
            </w:r>
          </w:p>
        </w:tc>
        <w:tc>
          <w:tcPr>
            <w:tcW w:w="3006" w:type="dxa"/>
          </w:tcPr>
          <w:p w14:paraId="01B00794" w14:textId="77777777" w:rsidR="00880962" w:rsidRPr="00CC2CF3" w:rsidRDefault="00880962" w:rsidP="001C6F57">
            <w:pPr>
              <w:jc w:val="both"/>
              <w:rPr>
                <w:rFonts w:ascii="Garamond" w:hAnsi="Garamond"/>
                <w:sz w:val="26"/>
                <w:szCs w:val="26"/>
              </w:rPr>
            </w:pPr>
            <w:r w:rsidRPr="00CC2CF3">
              <w:rPr>
                <w:rFonts w:ascii="Garamond" w:hAnsi="Garamond"/>
                <w:sz w:val="26"/>
                <w:szCs w:val="26"/>
              </w:rPr>
              <w:t>Gender Neutral</w:t>
            </w:r>
          </w:p>
          <w:p w14:paraId="591F6738" w14:textId="77777777" w:rsidR="00880962" w:rsidRPr="00CC2CF3" w:rsidRDefault="00880962" w:rsidP="001C6F57">
            <w:pPr>
              <w:jc w:val="both"/>
              <w:rPr>
                <w:rFonts w:ascii="Garamond" w:hAnsi="Garamond"/>
                <w:sz w:val="26"/>
                <w:szCs w:val="26"/>
              </w:rPr>
            </w:pPr>
          </w:p>
          <w:p w14:paraId="24C7C0DD" w14:textId="77777777" w:rsidR="00880962" w:rsidRPr="00CC2CF3" w:rsidRDefault="00880962" w:rsidP="001C6F57">
            <w:pPr>
              <w:jc w:val="both"/>
              <w:rPr>
                <w:rFonts w:ascii="Garamond" w:hAnsi="Garamond"/>
                <w:sz w:val="26"/>
                <w:szCs w:val="26"/>
              </w:rPr>
            </w:pPr>
            <w:r w:rsidRPr="00CC2CF3">
              <w:rPr>
                <w:rFonts w:ascii="Garamond" w:hAnsi="Garamond"/>
                <w:sz w:val="26"/>
                <w:szCs w:val="26"/>
              </w:rPr>
              <w:t>Similar to Prohibited Degrees of Relation condition, the rationale of law isn’t in lines or with respect to same sex marriage and hence, it does not prima facie bar same sex marriage.</w:t>
            </w:r>
          </w:p>
        </w:tc>
      </w:tr>
    </w:tbl>
    <w:p w14:paraId="2F55C5FA" w14:textId="33E1DDC2" w:rsidR="00EB3477" w:rsidRPr="00330D6B" w:rsidRDefault="00EB3477" w:rsidP="00D460A3">
      <w:pPr>
        <w:pStyle w:val="Heading2"/>
        <w:rPr>
          <w:rFonts w:ascii="Garamond" w:hAnsi="Garamond"/>
          <w:b/>
          <w:bCs/>
          <w:sz w:val="26"/>
          <w:szCs w:val="26"/>
        </w:rPr>
      </w:pPr>
      <w:r w:rsidRPr="00330D6B">
        <w:rPr>
          <w:rFonts w:ascii="Garamond" w:hAnsi="Garamond"/>
          <w:b/>
          <w:bCs/>
          <w:sz w:val="26"/>
          <w:szCs w:val="26"/>
        </w:rPr>
        <w:t>Constitutionality of Same Sex Marriage</w:t>
      </w:r>
    </w:p>
    <w:p w14:paraId="7B05359D" w14:textId="67C07FC1" w:rsidR="00EB3477" w:rsidRPr="00D460A3" w:rsidRDefault="00EB3477" w:rsidP="00EB3477">
      <w:pPr>
        <w:pStyle w:val="ListParagraph"/>
        <w:numPr>
          <w:ilvl w:val="0"/>
          <w:numId w:val="3"/>
        </w:numPr>
        <w:spacing w:before="240" w:after="240"/>
        <w:jc w:val="both"/>
        <w:rPr>
          <w:rFonts w:ascii="Garamond" w:eastAsia="Times New Roman" w:hAnsi="Garamond" w:cs="Times New Roman"/>
          <w:i/>
          <w:iCs/>
          <w:sz w:val="26"/>
          <w:szCs w:val="26"/>
        </w:rPr>
      </w:pPr>
      <w:r w:rsidRPr="00D460A3">
        <w:rPr>
          <w:rFonts w:ascii="Garamond" w:eastAsia="Times New Roman" w:hAnsi="Garamond" w:cs="Times New Roman"/>
          <w:i/>
          <w:iCs/>
          <w:sz w:val="26"/>
          <w:szCs w:val="26"/>
        </w:rPr>
        <w:t>Violation of Article 14</w:t>
      </w:r>
    </w:p>
    <w:p w14:paraId="5EF1F504" w14:textId="0351757F" w:rsidR="00EB3477" w:rsidRDefault="00EB3477" w:rsidP="00EB3477">
      <w:pPr>
        <w:pStyle w:val="ListParagraph"/>
        <w:spacing w:before="240" w:after="240"/>
        <w:jc w:val="both"/>
        <w:rPr>
          <w:rFonts w:ascii="Garamond" w:eastAsia="Times New Roman" w:hAnsi="Garamond" w:cs="Times New Roman"/>
          <w:sz w:val="26"/>
          <w:szCs w:val="26"/>
        </w:rPr>
      </w:pPr>
    </w:p>
    <w:p w14:paraId="7FACD4DA" w14:textId="52C30078" w:rsidR="00EB3477" w:rsidRDefault="00EB3477" w:rsidP="00EB3477">
      <w:pPr>
        <w:pStyle w:val="ListParagraph"/>
        <w:spacing w:before="240" w:after="240"/>
        <w:jc w:val="both"/>
        <w:rPr>
          <w:rFonts w:ascii="Garamond" w:eastAsia="Times New Roman" w:hAnsi="Garamond" w:cs="Times New Roman"/>
          <w:sz w:val="26"/>
          <w:szCs w:val="26"/>
        </w:rPr>
      </w:pPr>
      <w:r w:rsidRPr="00EB3477">
        <w:rPr>
          <w:rFonts w:ascii="Garamond" w:eastAsia="Times New Roman" w:hAnsi="Garamond" w:cs="Times New Roman"/>
          <w:sz w:val="26"/>
          <w:szCs w:val="26"/>
        </w:rPr>
        <w:t>Article 14 prohibits classification or differentiation that has no rational nexus with the object of the law sought to be achieved.</w:t>
      </w:r>
      <w:r>
        <w:rPr>
          <w:rFonts w:ascii="Garamond" w:eastAsia="Times New Roman" w:hAnsi="Garamond" w:cs="Times New Roman"/>
          <w:sz w:val="26"/>
          <w:szCs w:val="26"/>
        </w:rPr>
        <w:t xml:space="preserve"> In case of </w:t>
      </w:r>
      <w:r w:rsidRPr="00EB3477">
        <w:rPr>
          <w:rFonts w:ascii="Garamond" w:eastAsia="Times New Roman" w:hAnsi="Garamond" w:cs="Times New Roman"/>
          <w:sz w:val="26"/>
          <w:szCs w:val="26"/>
        </w:rPr>
        <w:t>Hindu LGBT couples, this discrimination is also violative of the statutory mandate</w:t>
      </w:r>
      <w:r>
        <w:rPr>
          <w:rFonts w:ascii="Garamond" w:eastAsia="Times New Roman" w:hAnsi="Garamond" w:cs="Times New Roman"/>
          <w:sz w:val="26"/>
          <w:szCs w:val="26"/>
        </w:rPr>
        <w:t xml:space="preserve"> in Section 377 case</w:t>
      </w:r>
      <w:r>
        <w:rPr>
          <w:rStyle w:val="FootnoteReference"/>
          <w:rFonts w:ascii="Garamond" w:eastAsia="Times New Roman" w:hAnsi="Garamond" w:cs="Times New Roman"/>
          <w:sz w:val="26"/>
          <w:szCs w:val="26"/>
        </w:rPr>
        <w:footnoteReference w:id="32"/>
      </w:r>
    </w:p>
    <w:p w14:paraId="1DF5E1A6" w14:textId="77777777" w:rsidR="003F467F" w:rsidRDefault="003F467F" w:rsidP="00EB3477">
      <w:pPr>
        <w:pStyle w:val="ListParagraph"/>
        <w:spacing w:before="240" w:after="240"/>
        <w:jc w:val="both"/>
        <w:rPr>
          <w:rFonts w:ascii="Garamond" w:eastAsia="Times New Roman" w:hAnsi="Garamond" w:cs="Times New Roman"/>
          <w:sz w:val="26"/>
          <w:szCs w:val="26"/>
        </w:rPr>
      </w:pPr>
    </w:p>
    <w:p w14:paraId="3077B994" w14:textId="7CDE5FEA" w:rsidR="00EB3477" w:rsidRPr="00D460A3" w:rsidRDefault="003F467F" w:rsidP="00EB3477">
      <w:pPr>
        <w:pStyle w:val="ListParagraph"/>
        <w:numPr>
          <w:ilvl w:val="0"/>
          <w:numId w:val="3"/>
        </w:numPr>
        <w:spacing w:before="240" w:after="240"/>
        <w:jc w:val="both"/>
        <w:rPr>
          <w:rFonts w:ascii="Garamond" w:eastAsia="Times New Roman" w:hAnsi="Garamond" w:cs="Times New Roman"/>
          <w:i/>
          <w:iCs/>
          <w:sz w:val="26"/>
          <w:szCs w:val="26"/>
        </w:rPr>
      </w:pPr>
      <w:r w:rsidRPr="00D460A3">
        <w:rPr>
          <w:rFonts w:ascii="Garamond" w:eastAsia="Times New Roman" w:hAnsi="Garamond" w:cs="Times New Roman"/>
          <w:i/>
          <w:iCs/>
          <w:sz w:val="26"/>
          <w:szCs w:val="26"/>
        </w:rPr>
        <w:t xml:space="preserve">Choice of A Person to Marry was held in </w:t>
      </w:r>
      <w:proofErr w:type="spellStart"/>
      <w:r w:rsidRPr="00D460A3">
        <w:rPr>
          <w:rFonts w:ascii="Garamond" w:eastAsia="Times New Roman" w:hAnsi="Garamond" w:cs="Times New Roman"/>
          <w:i/>
          <w:iCs/>
          <w:sz w:val="26"/>
          <w:szCs w:val="26"/>
        </w:rPr>
        <w:t>Haldiya</w:t>
      </w:r>
      <w:proofErr w:type="spellEnd"/>
      <w:r w:rsidRPr="00D460A3">
        <w:rPr>
          <w:rFonts w:ascii="Garamond" w:eastAsia="Times New Roman" w:hAnsi="Garamond" w:cs="Times New Roman"/>
          <w:i/>
          <w:iCs/>
          <w:sz w:val="26"/>
          <w:szCs w:val="26"/>
        </w:rPr>
        <w:t xml:space="preserve"> Case</w:t>
      </w:r>
      <w:r w:rsidRPr="00D460A3">
        <w:rPr>
          <w:rStyle w:val="FootnoteReference"/>
          <w:rFonts w:ascii="Garamond" w:eastAsia="Times New Roman" w:hAnsi="Garamond" w:cs="Times New Roman"/>
          <w:i/>
          <w:iCs/>
          <w:sz w:val="26"/>
          <w:szCs w:val="26"/>
        </w:rPr>
        <w:footnoteReference w:id="33"/>
      </w:r>
    </w:p>
    <w:p w14:paraId="7A128033" w14:textId="32CD2FD2" w:rsidR="003F467F" w:rsidRDefault="003F467F" w:rsidP="003F467F">
      <w:pPr>
        <w:pStyle w:val="ListParagraph"/>
        <w:spacing w:before="240" w:after="240"/>
        <w:jc w:val="both"/>
        <w:rPr>
          <w:rFonts w:ascii="Garamond" w:eastAsia="Times New Roman" w:hAnsi="Garamond" w:cs="Times New Roman"/>
          <w:sz w:val="26"/>
          <w:szCs w:val="26"/>
        </w:rPr>
      </w:pPr>
    </w:p>
    <w:p w14:paraId="04B0588B" w14:textId="27E0EF5F" w:rsidR="003F467F" w:rsidRPr="00EB3477" w:rsidRDefault="003F467F" w:rsidP="003F467F">
      <w:pPr>
        <w:pStyle w:val="ListParagraph"/>
        <w:spacing w:before="240" w:after="240"/>
        <w:jc w:val="both"/>
        <w:rPr>
          <w:rFonts w:ascii="Garamond" w:eastAsia="Times New Roman" w:hAnsi="Garamond" w:cs="Times New Roman"/>
          <w:sz w:val="26"/>
          <w:szCs w:val="26"/>
        </w:rPr>
      </w:pPr>
      <w:r>
        <w:rPr>
          <w:rFonts w:ascii="Garamond" w:eastAsia="Times New Roman" w:hAnsi="Garamond" w:cs="Times New Roman"/>
          <w:sz w:val="26"/>
          <w:szCs w:val="26"/>
        </w:rPr>
        <w:t>It was held by the Supreme Court that, t</w:t>
      </w:r>
      <w:r w:rsidRPr="003F467F">
        <w:rPr>
          <w:rFonts w:ascii="Garamond" w:eastAsia="Times New Roman" w:hAnsi="Garamond" w:cs="Times New Roman"/>
          <w:sz w:val="26"/>
          <w:szCs w:val="26"/>
        </w:rPr>
        <w:t>he choice of a partner, whether within or outside of marriage, is entirely up to the person. Marriage intimacy exists within an inviolable zone of privacy.</w:t>
      </w:r>
      <w:r>
        <w:rPr>
          <w:rFonts w:ascii="Garamond" w:eastAsia="Times New Roman" w:hAnsi="Garamond" w:cs="Times New Roman"/>
          <w:sz w:val="26"/>
          <w:szCs w:val="26"/>
        </w:rPr>
        <w:t xml:space="preserve"> In accordance with this, right to marry a person of same sex would be included in choice of a person to marry.</w:t>
      </w:r>
      <w:r w:rsidR="00D460A3">
        <w:rPr>
          <w:rFonts w:ascii="Garamond" w:eastAsia="Times New Roman" w:hAnsi="Garamond" w:cs="Times New Roman"/>
          <w:sz w:val="26"/>
          <w:szCs w:val="26"/>
        </w:rPr>
        <w:t xml:space="preserve"> </w:t>
      </w:r>
    </w:p>
    <w:p w14:paraId="4C195549" w14:textId="092D7107" w:rsidR="00880962" w:rsidRPr="00D460A3" w:rsidRDefault="00880962" w:rsidP="00D460A3">
      <w:pPr>
        <w:pStyle w:val="Heading2"/>
        <w:rPr>
          <w:rFonts w:ascii="Garamond" w:hAnsi="Garamond"/>
          <w:b/>
          <w:bCs/>
          <w:sz w:val="26"/>
          <w:szCs w:val="26"/>
        </w:rPr>
      </w:pPr>
      <w:r w:rsidRPr="00D460A3">
        <w:rPr>
          <w:rFonts w:ascii="Garamond" w:hAnsi="Garamond"/>
          <w:b/>
          <w:bCs/>
          <w:sz w:val="26"/>
          <w:szCs w:val="26"/>
        </w:rPr>
        <w:t>Conclusive Summary in argumentation of Both Parties:</w:t>
      </w:r>
    </w:p>
    <w:p w14:paraId="02E9B22E" w14:textId="77777777" w:rsidR="00880962" w:rsidRPr="00070777" w:rsidRDefault="00880962" w:rsidP="00880962">
      <w:pPr>
        <w:pStyle w:val="Heading2"/>
        <w:jc w:val="both"/>
        <w:rPr>
          <w:rFonts w:ascii="Garamond" w:hAnsi="Garamond"/>
          <w:b/>
          <w:bCs/>
          <w:sz w:val="26"/>
          <w:szCs w:val="26"/>
        </w:rPr>
      </w:pPr>
      <w:r w:rsidRPr="00070777">
        <w:rPr>
          <w:rFonts w:ascii="Garamond" w:hAnsi="Garamond"/>
          <w:b/>
          <w:bCs/>
          <w:sz w:val="26"/>
          <w:szCs w:val="26"/>
        </w:rPr>
        <w:lastRenderedPageBreak/>
        <w:t>Legal Aspects for Same Sex Marriage</w:t>
      </w:r>
    </w:p>
    <w:p w14:paraId="5A654E53" w14:textId="77777777" w:rsidR="00880962" w:rsidRPr="004A18D9" w:rsidRDefault="00880962" w:rsidP="00880962">
      <w:pPr>
        <w:numPr>
          <w:ilvl w:val="0"/>
          <w:numId w:val="2"/>
        </w:numPr>
        <w:spacing w:before="240"/>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Out of the essential grounds of marriage under Section 5, no ground expressly prohibits or implicitly lays condition barring same sex marriage in an interpretative sense. </w:t>
      </w:r>
    </w:p>
    <w:p w14:paraId="7B7AA828" w14:textId="77777777" w:rsidR="00880962" w:rsidRPr="004A18D9" w:rsidRDefault="00880962" w:rsidP="00880962">
      <w:pPr>
        <w:numPr>
          <w:ilvl w:val="0"/>
          <w:numId w:val="2"/>
        </w:numPr>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Homosexuality cannot be considered a mental disorder, as held by the Supreme Court in </w:t>
      </w:r>
      <w:proofErr w:type="spellStart"/>
      <w:r w:rsidRPr="004A18D9">
        <w:rPr>
          <w:rFonts w:ascii="Garamond" w:eastAsia="Times New Roman" w:hAnsi="Garamond" w:cs="Times New Roman"/>
          <w:sz w:val="26"/>
          <w:szCs w:val="26"/>
        </w:rPr>
        <w:t>Navtej</w:t>
      </w:r>
      <w:proofErr w:type="spellEnd"/>
      <w:r w:rsidRPr="004A18D9">
        <w:rPr>
          <w:rFonts w:ascii="Garamond" w:eastAsia="Times New Roman" w:hAnsi="Garamond" w:cs="Times New Roman"/>
          <w:sz w:val="26"/>
          <w:szCs w:val="26"/>
        </w:rPr>
        <w:t xml:space="preserve"> Singh </w:t>
      </w:r>
      <w:proofErr w:type="spellStart"/>
      <w:r w:rsidRPr="004A18D9">
        <w:rPr>
          <w:rFonts w:ascii="Garamond" w:eastAsia="Times New Roman" w:hAnsi="Garamond" w:cs="Times New Roman"/>
          <w:sz w:val="26"/>
          <w:szCs w:val="26"/>
        </w:rPr>
        <w:t>Johar</w:t>
      </w:r>
      <w:proofErr w:type="spellEnd"/>
      <w:r w:rsidRPr="004A18D9">
        <w:rPr>
          <w:rFonts w:ascii="Garamond" w:eastAsia="Times New Roman" w:hAnsi="Garamond" w:cs="Times New Roman"/>
          <w:sz w:val="26"/>
          <w:szCs w:val="26"/>
        </w:rPr>
        <w:t xml:space="preserve"> case</w:t>
      </w:r>
      <w:r>
        <w:rPr>
          <w:rStyle w:val="FootnoteReference"/>
          <w:rFonts w:ascii="Garamond" w:eastAsia="Times New Roman" w:hAnsi="Garamond" w:cs="Times New Roman"/>
          <w:sz w:val="26"/>
          <w:szCs w:val="26"/>
        </w:rPr>
        <w:footnoteReference w:id="34"/>
      </w:r>
      <w:r w:rsidRPr="004A18D9">
        <w:rPr>
          <w:rFonts w:ascii="Garamond" w:eastAsia="Times New Roman" w:hAnsi="Garamond" w:cs="Times New Roman"/>
          <w:sz w:val="26"/>
          <w:szCs w:val="26"/>
        </w:rPr>
        <w:t>, thereby the concept as under Section 5 (3) shall not be howsoever be attracted.</w:t>
      </w:r>
    </w:p>
    <w:p w14:paraId="2B920DDA" w14:textId="77777777" w:rsidR="00880962" w:rsidRPr="004A18D9" w:rsidRDefault="00880962" w:rsidP="00880962">
      <w:pPr>
        <w:numPr>
          <w:ilvl w:val="0"/>
          <w:numId w:val="2"/>
        </w:numPr>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Right to choose a partner is a fundamental right enshrined as under Article 21 of the Constitution. </w:t>
      </w:r>
    </w:p>
    <w:p w14:paraId="1D2A3FD6" w14:textId="77777777" w:rsidR="00880962" w:rsidRPr="004A18D9" w:rsidRDefault="00880962" w:rsidP="00880962">
      <w:pPr>
        <w:numPr>
          <w:ilvl w:val="0"/>
          <w:numId w:val="2"/>
        </w:numPr>
        <w:jc w:val="both"/>
        <w:rPr>
          <w:rFonts w:ascii="Garamond" w:eastAsia="Times New Roman" w:hAnsi="Garamond" w:cs="Times New Roman"/>
          <w:sz w:val="26"/>
          <w:szCs w:val="26"/>
        </w:rPr>
      </w:pPr>
      <w:r w:rsidRPr="004A18D9">
        <w:rPr>
          <w:rFonts w:ascii="Garamond" w:eastAsia="Times New Roman" w:hAnsi="Garamond" w:cs="Times New Roman"/>
          <w:sz w:val="26"/>
          <w:szCs w:val="26"/>
        </w:rPr>
        <w:t>The maxim of “</w:t>
      </w:r>
      <w:proofErr w:type="spellStart"/>
      <w:r w:rsidRPr="004A18D9">
        <w:rPr>
          <w:rFonts w:ascii="Garamond" w:eastAsia="Times New Roman" w:hAnsi="Garamond" w:cs="Times New Roman"/>
          <w:i/>
          <w:sz w:val="26"/>
          <w:szCs w:val="26"/>
        </w:rPr>
        <w:t>optimus</w:t>
      </w:r>
      <w:proofErr w:type="spellEnd"/>
      <w:r w:rsidRPr="004A18D9">
        <w:rPr>
          <w:rFonts w:ascii="Garamond" w:eastAsia="Times New Roman" w:hAnsi="Garamond" w:cs="Times New Roman"/>
          <w:i/>
          <w:sz w:val="26"/>
          <w:szCs w:val="26"/>
        </w:rPr>
        <w:t xml:space="preserve"> </w:t>
      </w:r>
      <w:proofErr w:type="spellStart"/>
      <w:r w:rsidRPr="004A18D9">
        <w:rPr>
          <w:rFonts w:ascii="Garamond" w:eastAsia="Times New Roman" w:hAnsi="Garamond" w:cs="Times New Roman"/>
          <w:i/>
          <w:sz w:val="26"/>
          <w:szCs w:val="26"/>
        </w:rPr>
        <w:t>legum</w:t>
      </w:r>
      <w:proofErr w:type="spellEnd"/>
      <w:r w:rsidRPr="004A18D9">
        <w:rPr>
          <w:rFonts w:ascii="Garamond" w:eastAsia="Times New Roman" w:hAnsi="Garamond" w:cs="Times New Roman"/>
          <w:i/>
          <w:sz w:val="26"/>
          <w:szCs w:val="26"/>
        </w:rPr>
        <w:t xml:space="preserve"> </w:t>
      </w:r>
      <w:proofErr w:type="spellStart"/>
      <w:r w:rsidRPr="004A18D9">
        <w:rPr>
          <w:rFonts w:ascii="Garamond" w:eastAsia="Times New Roman" w:hAnsi="Garamond" w:cs="Times New Roman"/>
          <w:i/>
          <w:sz w:val="26"/>
          <w:szCs w:val="26"/>
        </w:rPr>
        <w:t>interpres</w:t>
      </w:r>
      <w:proofErr w:type="spellEnd"/>
      <w:r w:rsidRPr="004A18D9">
        <w:rPr>
          <w:rFonts w:ascii="Garamond" w:eastAsia="Times New Roman" w:hAnsi="Garamond" w:cs="Times New Roman"/>
          <w:i/>
          <w:sz w:val="26"/>
          <w:szCs w:val="26"/>
        </w:rPr>
        <w:t xml:space="preserve"> </w:t>
      </w:r>
      <w:proofErr w:type="spellStart"/>
      <w:r w:rsidRPr="004A18D9">
        <w:rPr>
          <w:rFonts w:ascii="Garamond" w:eastAsia="Times New Roman" w:hAnsi="Garamond" w:cs="Times New Roman"/>
          <w:i/>
          <w:sz w:val="26"/>
          <w:szCs w:val="26"/>
        </w:rPr>
        <w:t>est</w:t>
      </w:r>
      <w:proofErr w:type="spellEnd"/>
      <w:r w:rsidRPr="004A18D9">
        <w:rPr>
          <w:rFonts w:ascii="Garamond" w:eastAsia="Times New Roman" w:hAnsi="Garamond" w:cs="Times New Roman"/>
          <w:i/>
          <w:sz w:val="26"/>
          <w:szCs w:val="26"/>
        </w:rPr>
        <w:t xml:space="preserve"> consuetudo; </w:t>
      </w:r>
      <w:proofErr w:type="spellStart"/>
      <w:r w:rsidRPr="004A18D9">
        <w:rPr>
          <w:rFonts w:ascii="Garamond" w:eastAsia="Times New Roman" w:hAnsi="Garamond" w:cs="Times New Roman"/>
          <w:i/>
          <w:sz w:val="26"/>
          <w:szCs w:val="26"/>
        </w:rPr>
        <w:t>Contemporanea</w:t>
      </w:r>
      <w:proofErr w:type="spellEnd"/>
      <w:r w:rsidRPr="004A18D9">
        <w:rPr>
          <w:rFonts w:ascii="Garamond" w:eastAsia="Times New Roman" w:hAnsi="Garamond" w:cs="Times New Roman"/>
          <w:i/>
          <w:sz w:val="26"/>
          <w:szCs w:val="26"/>
        </w:rPr>
        <w:t xml:space="preserve"> </w:t>
      </w:r>
      <w:proofErr w:type="spellStart"/>
      <w:r w:rsidRPr="004A18D9">
        <w:rPr>
          <w:rFonts w:ascii="Garamond" w:eastAsia="Times New Roman" w:hAnsi="Garamond" w:cs="Times New Roman"/>
          <w:i/>
          <w:sz w:val="26"/>
          <w:szCs w:val="26"/>
        </w:rPr>
        <w:t>Expositio</w:t>
      </w:r>
      <w:proofErr w:type="spellEnd"/>
      <w:r w:rsidRPr="004A18D9">
        <w:rPr>
          <w:rFonts w:ascii="Garamond" w:eastAsia="Times New Roman" w:hAnsi="Garamond" w:cs="Times New Roman"/>
          <w:i/>
          <w:sz w:val="26"/>
          <w:szCs w:val="26"/>
        </w:rPr>
        <w:t xml:space="preserve"> </w:t>
      </w:r>
      <w:proofErr w:type="spellStart"/>
      <w:r w:rsidRPr="004A18D9">
        <w:rPr>
          <w:rFonts w:ascii="Garamond" w:eastAsia="Times New Roman" w:hAnsi="Garamond" w:cs="Times New Roman"/>
          <w:i/>
          <w:sz w:val="26"/>
          <w:szCs w:val="26"/>
        </w:rPr>
        <w:t>est</w:t>
      </w:r>
      <w:proofErr w:type="spellEnd"/>
      <w:r w:rsidRPr="004A18D9">
        <w:rPr>
          <w:rFonts w:ascii="Garamond" w:eastAsia="Times New Roman" w:hAnsi="Garamond" w:cs="Times New Roman"/>
          <w:i/>
          <w:sz w:val="26"/>
          <w:szCs w:val="26"/>
        </w:rPr>
        <w:t xml:space="preserve"> optima et fortissimo in </w:t>
      </w:r>
      <w:proofErr w:type="spellStart"/>
      <w:r w:rsidRPr="004A18D9">
        <w:rPr>
          <w:rFonts w:ascii="Garamond" w:eastAsia="Times New Roman" w:hAnsi="Garamond" w:cs="Times New Roman"/>
          <w:i/>
          <w:sz w:val="26"/>
          <w:szCs w:val="26"/>
        </w:rPr>
        <w:t>lege</w:t>
      </w:r>
      <w:proofErr w:type="spellEnd"/>
      <w:r w:rsidRPr="004A18D9">
        <w:rPr>
          <w:rFonts w:ascii="Garamond" w:eastAsia="Times New Roman" w:hAnsi="Garamond" w:cs="Times New Roman"/>
          <w:i/>
          <w:sz w:val="26"/>
          <w:szCs w:val="26"/>
        </w:rPr>
        <w:t xml:space="preserve">” </w:t>
      </w:r>
      <w:r w:rsidRPr="004A18D9">
        <w:rPr>
          <w:rFonts w:ascii="Garamond" w:eastAsia="Times New Roman" w:hAnsi="Garamond" w:cs="Times New Roman"/>
          <w:sz w:val="26"/>
          <w:szCs w:val="26"/>
        </w:rPr>
        <w:t>should be applying in interpreting the Hindu Marriage Act, the latest developments of society must be an aid to interpret a statute that was drafted when the conditions did not so prevail.</w:t>
      </w:r>
    </w:p>
    <w:p w14:paraId="78DFADD6" w14:textId="77777777" w:rsidR="00880962" w:rsidRPr="00070777" w:rsidRDefault="00880962" w:rsidP="00880962">
      <w:pPr>
        <w:numPr>
          <w:ilvl w:val="0"/>
          <w:numId w:val="2"/>
        </w:numPr>
        <w:spacing w:after="240"/>
        <w:jc w:val="both"/>
        <w:rPr>
          <w:rFonts w:ascii="Garamond" w:eastAsia="Times New Roman" w:hAnsi="Garamond" w:cs="Times New Roman"/>
          <w:sz w:val="26"/>
          <w:szCs w:val="26"/>
        </w:rPr>
      </w:pPr>
      <w:r w:rsidRPr="004A18D9">
        <w:rPr>
          <w:rFonts w:ascii="Garamond" w:eastAsia="Times New Roman" w:hAnsi="Garamond" w:cs="Times New Roman"/>
          <w:sz w:val="26"/>
          <w:szCs w:val="26"/>
        </w:rPr>
        <w:t>Same sex marriages do not disrupt the moral fabric of society, rather it has been across geographies and species of life, that homosexual relations have existed. It would merely be an inclusive framework to grant conjugal rights to partners in their private lives.</w:t>
      </w:r>
    </w:p>
    <w:p w14:paraId="381CD451" w14:textId="77777777" w:rsidR="00880962" w:rsidRPr="00CC2CF3" w:rsidRDefault="00880962" w:rsidP="00880962">
      <w:pPr>
        <w:pStyle w:val="Heading2"/>
        <w:jc w:val="both"/>
        <w:rPr>
          <w:rFonts w:ascii="Garamond" w:hAnsi="Garamond"/>
          <w:b/>
          <w:bCs/>
          <w:sz w:val="26"/>
          <w:szCs w:val="26"/>
        </w:rPr>
      </w:pPr>
      <w:r w:rsidRPr="00CC2CF3">
        <w:rPr>
          <w:rFonts w:ascii="Garamond" w:hAnsi="Garamond"/>
          <w:b/>
          <w:bCs/>
          <w:sz w:val="26"/>
          <w:szCs w:val="26"/>
        </w:rPr>
        <w:t>Legal Aspects against Same Sex Marriage</w:t>
      </w:r>
    </w:p>
    <w:p w14:paraId="4509FEB8" w14:textId="77777777" w:rsidR="00880962" w:rsidRPr="004A18D9" w:rsidRDefault="00880962" w:rsidP="00880962">
      <w:pPr>
        <w:numPr>
          <w:ilvl w:val="0"/>
          <w:numId w:val="1"/>
        </w:numPr>
        <w:spacing w:before="240"/>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Intent of Hindu Marriage Act can be found in </w:t>
      </w:r>
      <w:proofErr w:type="spellStart"/>
      <w:r w:rsidRPr="004A18D9">
        <w:rPr>
          <w:rFonts w:ascii="Garamond" w:eastAsia="Times New Roman" w:hAnsi="Garamond" w:cs="Times New Roman"/>
          <w:sz w:val="26"/>
          <w:szCs w:val="26"/>
        </w:rPr>
        <w:t>Shastric</w:t>
      </w:r>
      <w:proofErr w:type="spellEnd"/>
      <w:r w:rsidRPr="004A18D9">
        <w:rPr>
          <w:rFonts w:ascii="Garamond" w:eastAsia="Times New Roman" w:hAnsi="Garamond" w:cs="Times New Roman"/>
          <w:sz w:val="26"/>
          <w:szCs w:val="26"/>
        </w:rPr>
        <w:t xml:space="preserve"> Law, which explicitly provides for relation of a </w:t>
      </w:r>
      <w:r w:rsidRPr="004A18D9">
        <w:rPr>
          <w:rFonts w:ascii="Garamond" w:eastAsia="Times New Roman" w:hAnsi="Garamond" w:cs="Times New Roman"/>
          <w:b/>
          <w:sz w:val="26"/>
          <w:szCs w:val="26"/>
        </w:rPr>
        <w:t xml:space="preserve">male </w:t>
      </w:r>
      <w:r w:rsidRPr="004A18D9">
        <w:rPr>
          <w:rFonts w:ascii="Garamond" w:eastAsia="Times New Roman" w:hAnsi="Garamond" w:cs="Times New Roman"/>
          <w:sz w:val="26"/>
          <w:szCs w:val="26"/>
        </w:rPr>
        <w:t xml:space="preserve">and a </w:t>
      </w:r>
      <w:r w:rsidRPr="004A18D9">
        <w:rPr>
          <w:rFonts w:ascii="Garamond" w:eastAsia="Times New Roman" w:hAnsi="Garamond" w:cs="Times New Roman"/>
          <w:b/>
          <w:sz w:val="26"/>
          <w:szCs w:val="26"/>
        </w:rPr>
        <w:t>female</w:t>
      </w:r>
      <w:r w:rsidRPr="004A18D9">
        <w:rPr>
          <w:rFonts w:ascii="Garamond" w:eastAsia="Times New Roman" w:hAnsi="Garamond" w:cs="Times New Roman"/>
          <w:sz w:val="26"/>
          <w:szCs w:val="26"/>
        </w:rPr>
        <w:t xml:space="preserve"> in accordance with </w:t>
      </w:r>
      <w:proofErr w:type="spellStart"/>
      <w:r w:rsidRPr="004A18D9">
        <w:rPr>
          <w:rFonts w:ascii="Garamond" w:eastAsia="Times New Roman" w:hAnsi="Garamond" w:cs="Times New Roman"/>
          <w:sz w:val="26"/>
          <w:szCs w:val="26"/>
        </w:rPr>
        <w:t>Manusmriti</w:t>
      </w:r>
      <w:proofErr w:type="spellEnd"/>
      <w:r w:rsidRPr="004A18D9">
        <w:rPr>
          <w:rFonts w:ascii="Garamond" w:eastAsia="Times New Roman" w:hAnsi="Garamond" w:cs="Times New Roman"/>
          <w:sz w:val="26"/>
          <w:szCs w:val="26"/>
        </w:rPr>
        <w:t xml:space="preserve"> and various </w:t>
      </w:r>
      <w:proofErr w:type="spellStart"/>
      <w:r w:rsidRPr="004A18D9">
        <w:rPr>
          <w:rFonts w:ascii="Garamond" w:eastAsia="Times New Roman" w:hAnsi="Garamond" w:cs="Times New Roman"/>
          <w:sz w:val="26"/>
          <w:szCs w:val="26"/>
        </w:rPr>
        <w:t>shastric</w:t>
      </w:r>
      <w:proofErr w:type="spellEnd"/>
      <w:r w:rsidRPr="004A18D9">
        <w:rPr>
          <w:rFonts w:ascii="Garamond" w:eastAsia="Times New Roman" w:hAnsi="Garamond" w:cs="Times New Roman"/>
          <w:sz w:val="26"/>
          <w:szCs w:val="26"/>
        </w:rPr>
        <w:t xml:space="preserve"> laws, where female is considered as </w:t>
      </w:r>
      <w:proofErr w:type="spellStart"/>
      <w:r w:rsidRPr="004A18D9">
        <w:rPr>
          <w:rFonts w:ascii="Garamond" w:eastAsia="Times New Roman" w:hAnsi="Garamond" w:cs="Times New Roman"/>
          <w:sz w:val="26"/>
          <w:szCs w:val="26"/>
        </w:rPr>
        <w:t>Ardhangini</w:t>
      </w:r>
      <w:proofErr w:type="spellEnd"/>
      <w:r w:rsidRPr="004A18D9">
        <w:rPr>
          <w:rFonts w:ascii="Garamond" w:eastAsia="Times New Roman" w:hAnsi="Garamond" w:cs="Times New Roman"/>
          <w:sz w:val="26"/>
          <w:szCs w:val="26"/>
        </w:rPr>
        <w:t xml:space="preserve">, and never had it been imagined to provide for same sex relations. </w:t>
      </w:r>
    </w:p>
    <w:p w14:paraId="2B7DA3C6" w14:textId="77777777" w:rsidR="00880962" w:rsidRPr="004A18D9" w:rsidRDefault="00880962" w:rsidP="00880962">
      <w:pPr>
        <w:numPr>
          <w:ilvl w:val="0"/>
          <w:numId w:val="1"/>
        </w:numPr>
        <w:jc w:val="both"/>
        <w:rPr>
          <w:rFonts w:ascii="Garamond" w:eastAsia="Times New Roman" w:hAnsi="Garamond" w:cs="Times New Roman"/>
          <w:sz w:val="26"/>
          <w:szCs w:val="26"/>
        </w:rPr>
      </w:pPr>
      <w:r w:rsidRPr="004A18D9">
        <w:rPr>
          <w:rFonts w:ascii="Garamond" w:eastAsia="Times New Roman" w:hAnsi="Garamond" w:cs="Times New Roman"/>
          <w:sz w:val="26"/>
          <w:szCs w:val="26"/>
        </w:rPr>
        <w:t>Procreation, even with female is an essential part of a Hindu Marriage. Here the parties unable to procreate, fundamentally abrogate purpose of marriage as per Hinduism.</w:t>
      </w:r>
    </w:p>
    <w:p w14:paraId="0E00AEFC" w14:textId="77777777" w:rsidR="00880962" w:rsidRPr="004A18D9" w:rsidRDefault="00880962" w:rsidP="00880962">
      <w:pPr>
        <w:numPr>
          <w:ilvl w:val="0"/>
          <w:numId w:val="1"/>
        </w:numPr>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Section 5 (3) of the Act, which provides for Age of Marriage of Bride &amp; Bridegroom, explicitly contains the provision which allows for marriage of a </w:t>
      </w:r>
      <w:r w:rsidRPr="004A18D9">
        <w:rPr>
          <w:rFonts w:ascii="Garamond" w:eastAsia="Times New Roman" w:hAnsi="Garamond" w:cs="Times New Roman"/>
          <w:b/>
          <w:sz w:val="26"/>
          <w:szCs w:val="26"/>
        </w:rPr>
        <w:t>bride</w:t>
      </w:r>
      <w:r w:rsidRPr="004A18D9">
        <w:rPr>
          <w:rFonts w:ascii="Garamond" w:eastAsia="Times New Roman" w:hAnsi="Garamond" w:cs="Times New Roman"/>
          <w:sz w:val="26"/>
          <w:szCs w:val="26"/>
        </w:rPr>
        <w:t xml:space="preserve"> which is a femi</w:t>
      </w:r>
      <w:r>
        <w:rPr>
          <w:rFonts w:ascii="Garamond" w:eastAsia="Times New Roman" w:hAnsi="Garamond" w:cs="Times New Roman"/>
          <w:sz w:val="26"/>
          <w:szCs w:val="26"/>
        </w:rPr>
        <w:t>nin</w:t>
      </w:r>
      <w:r w:rsidRPr="004A18D9">
        <w:rPr>
          <w:rFonts w:ascii="Garamond" w:eastAsia="Times New Roman" w:hAnsi="Garamond" w:cs="Times New Roman"/>
          <w:sz w:val="26"/>
          <w:szCs w:val="26"/>
        </w:rPr>
        <w:t xml:space="preserve">e term and a </w:t>
      </w:r>
      <w:r w:rsidRPr="004A18D9">
        <w:rPr>
          <w:rFonts w:ascii="Garamond" w:eastAsia="Times New Roman" w:hAnsi="Garamond" w:cs="Times New Roman"/>
          <w:b/>
          <w:sz w:val="26"/>
          <w:szCs w:val="26"/>
        </w:rPr>
        <w:t>bridegroom</w:t>
      </w:r>
      <w:r w:rsidRPr="004A18D9">
        <w:rPr>
          <w:rFonts w:ascii="Garamond" w:eastAsia="Times New Roman" w:hAnsi="Garamond" w:cs="Times New Roman"/>
          <w:sz w:val="26"/>
          <w:szCs w:val="26"/>
        </w:rPr>
        <w:t xml:space="preserve"> that happens to be a male term. Thereby, Hindu marriage act does not have a wide interpretation with respect to mere relationship between any two parties. </w:t>
      </w:r>
    </w:p>
    <w:p w14:paraId="4B45BB09" w14:textId="77777777" w:rsidR="00880962" w:rsidRPr="004A18D9" w:rsidRDefault="00880962" w:rsidP="00880962">
      <w:pPr>
        <w:numPr>
          <w:ilvl w:val="0"/>
          <w:numId w:val="1"/>
        </w:numPr>
        <w:spacing w:after="240"/>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In arguendo, even marriage between two </w:t>
      </w:r>
      <w:r w:rsidRPr="004A18D9">
        <w:rPr>
          <w:rFonts w:ascii="Garamond" w:eastAsia="Times New Roman" w:hAnsi="Garamond" w:cs="Times New Roman"/>
          <w:b/>
          <w:sz w:val="26"/>
          <w:szCs w:val="26"/>
        </w:rPr>
        <w:t>humans</w:t>
      </w:r>
      <w:r w:rsidRPr="004A18D9">
        <w:rPr>
          <w:rFonts w:ascii="Garamond" w:eastAsia="Times New Roman" w:hAnsi="Garamond" w:cs="Times New Roman"/>
          <w:sz w:val="26"/>
          <w:szCs w:val="26"/>
        </w:rPr>
        <w:t xml:space="preserve"> is not an explicit feature of the Act, similarly, non-presence of word male and female can be read implicitly. </w:t>
      </w:r>
    </w:p>
    <w:p w14:paraId="4D2518AB" w14:textId="77777777" w:rsidR="00880962" w:rsidRPr="00CC2CF3" w:rsidRDefault="00880962" w:rsidP="00880962">
      <w:pPr>
        <w:pStyle w:val="Heading2"/>
        <w:jc w:val="both"/>
        <w:rPr>
          <w:rFonts w:ascii="Garamond" w:hAnsi="Garamond"/>
          <w:b/>
          <w:bCs/>
          <w:sz w:val="26"/>
          <w:szCs w:val="26"/>
        </w:rPr>
      </w:pPr>
      <w:r w:rsidRPr="00CC2CF3">
        <w:rPr>
          <w:rFonts w:ascii="Garamond" w:hAnsi="Garamond"/>
          <w:b/>
          <w:bCs/>
          <w:sz w:val="26"/>
          <w:szCs w:val="26"/>
        </w:rPr>
        <w:t>Conclusion</w:t>
      </w:r>
    </w:p>
    <w:p w14:paraId="23302E24" w14:textId="77777777" w:rsidR="00880962" w:rsidRPr="004A18D9" w:rsidRDefault="00880962" w:rsidP="00880962">
      <w:pPr>
        <w:spacing w:before="240" w:after="240"/>
        <w:jc w:val="both"/>
        <w:rPr>
          <w:rFonts w:ascii="Garamond" w:eastAsia="Times New Roman" w:hAnsi="Garamond" w:cs="Times New Roman"/>
          <w:sz w:val="26"/>
          <w:szCs w:val="26"/>
        </w:rPr>
      </w:pPr>
      <w:r w:rsidRPr="004A18D9">
        <w:rPr>
          <w:rFonts w:ascii="Garamond" w:eastAsia="Times New Roman" w:hAnsi="Garamond" w:cs="Times New Roman"/>
          <w:sz w:val="26"/>
          <w:szCs w:val="26"/>
        </w:rPr>
        <w:t xml:space="preserve">On plain reading, and with broadly accepted rules of interpretation, if one looks to accommodate same-sex marriage within the Hindu Marriage Act, the same is possible since </w:t>
      </w:r>
      <w:r w:rsidRPr="004A18D9">
        <w:rPr>
          <w:rFonts w:ascii="Garamond" w:eastAsia="Times New Roman" w:hAnsi="Garamond" w:cs="Times New Roman"/>
          <w:sz w:val="26"/>
          <w:szCs w:val="26"/>
        </w:rPr>
        <w:lastRenderedPageBreak/>
        <w:t xml:space="preserve">prima facie essentials of a marriage aren’t abrogated by virtue of the conditions explicitly or implicitly. Though, the matter shall arise when registration of marriage might be denied and the matter reaches the court. The court shall have discretion in two aspects - the nomenclature of </w:t>
      </w:r>
      <w:r w:rsidRPr="004A18D9">
        <w:rPr>
          <w:rFonts w:ascii="Garamond" w:eastAsia="Times New Roman" w:hAnsi="Garamond" w:cs="Times New Roman"/>
          <w:b/>
          <w:sz w:val="26"/>
          <w:szCs w:val="26"/>
        </w:rPr>
        <w:t>bride</w:t>
      </w:r>
      <w:r w:rsidRPr="004A18D9">
        <w:rPr>
          <w:rFonts w:ascii="Garamond" w:eastAsia="Times New Roman" w:hAnsi="Garamond" w:cs="Times New Roman"/>
          <w:sz w:val="26"/>
          <w:szCs w:val="26"/>
        </w:rPr>
        <w:t xml:space="preserve"> and </w:t>
      </w:r>
      <w:r w:rsidRPr="004A18D9">
        <w:rPr>
          <w:rFonts w:ascii="Garamond" w:eastAsia="Times New Roman" w:hAnsi="Garamond" w:cs="Times New Roman"/>
          <w:b/>
          <w:sz w:val="26"/>
          <w:szCs w:val="26"/>
        </w:rPr>
        <w:t>bridegroom</w:t>
      </w:r>
      <w:r w:rsidRPr="004A18D9">
        <w:rPr>
          <w:rFonts w:ascii="Garamond" w:eastAsia="Times New Roman" w:hAnsi="Garamond" w:cs="Times New Roman"/>
          <w:sz w:val="26"/>
          <w:szCs w:val="26"/>
        </w:rPr>
        <w:t xml:space="preserve"> found in Section 5 (3) and two interlinked questions of law, whether homosexuality would be a case of mental unfitness, which would lead both parties to be mentally unfit, therefore whether two such parties can marry. The research paper, further cover legal, and further modern scientific oriented aspects of accommodating such marriage from both perspectives, since this is a question open in the domain of wisdom of court(s).</w:t>
      </w:r>
    </w:p>
    <w:p w14:paraId="2579C8CE" w14:textId="77777777" w:rsidR="00880962" w:rsidRDefault="00880962"/>
    <w:sectPr w:rsidR="0088096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5" w:author="Vaibhav Gupta" w:date="2022-10-02T23:14:00Z" w:initials="VG">
    <w:p w14:paraId="72564A44" w14:textId="2ED4456A" w:rsidR="002B0EAA" w:rsidRDefault="002B0EAA">
      <w:pPr>
        <w:pStyle w:val="CommentText"/>
      </w:pPr>
      <w:r>
        <w:rPr>
          <w:rStyle w:val="CommentReference"/>
        </w:rPr>
        <w:annotationRef/>
      </w:r>
      <w:r>
        <w:t>Put in last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2564A4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E499C6" w16cex:dateUtc="2022-10-02T17: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2564A44" w16cid:durableId="26E499C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DAC6A0" w14:textId="77777777" w:rsidR="00880962" w:rsidRDefault="00880962" w:rsidP="00880962">
      <w:pPr>
        <w:spacing w:line="240" w:lineRule="auto"/>
      </w:pPr>
      <w:r>
        <w:separator/>
      </w:r>
    </w:p>
  </w:endnote>
  <w:endnote w:type="continuationSeparator" w:id="0">
    <w:p w14:paraId="49022C48" w14:textId="77777777" w:rsidR="00880962" w:rsidRDefault="00880962" w:rsidP="0088096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CC9CA" w14:textId="77777777" w:rsidR="00880962" w:rsidRDefault="00880962" w:rsidP="00880962">
      <w:pPr>
        <w:spacing w:line="240" w:lineRule="auto"/>
      </w:pPr>
      <w:r>
        <w:separator/>
      </w:r>
    </w:p>
  </w:footnote>
  <w:footnote w:type="continuationSeparator" w:id="0">
    <w:p w14:paraId="383906B7" w14:textId="77777777" w:rsidR="00880962" w:rsidRDefault="00880962" w:rsidP="00880962">
      <w:pPr>
        <w:spacing w:line="240" w:lineRule="auto"/>
      </w:pPr>
      <w:r>
        <w:continuationSeparator/>
      </w:r>
    </w:p>
  </w:footnote>
  <w:footnote w:id="1">
    <w:p w14:paraId="512DC21D" w14:textId="77777777" w:rsidR="00880962" w:rsidRPr="004A18D9" w:rsidRDefault="00880962" w:rsidP="00880962">
      <w:pPr>
        <w:pStyle w:val="FootnoteText"/>
        <w:rPr>
          <w:lang w:val="en-IN"/>
        </w:rPr>
      </w:pPr>
      <w:r>
        <w:rPr>
          <w:rStyle w:val="FootnoteReference"/>
        </w:rPr>
        <w:footnoteRef/>
      </w:r>
      <w:r>
        <w:t xml:space="preserve"> </w:t>
      </w:r>
    </w:p>
  </w:footnote>
  <w:footnote w:id="2">
    <w:p w14:paraId="637CA5B4" w14:textId="77777777" w:rsidR="00880962" w:rsidRPr="004A18D9" w:rsidRDefault="00880962" w:rsidP="00880962">
      <w:pPr>
        <w:pStyle w:val="FootnoteText"/>
        <w:rPr>
          <w:lang w:val="en-IN"/>
        </w:rPr>
      </w:pPr>
      <w:r>
        <w:rPr>
          <w:rStyle w:val="FootnoteReference"/>
        </w:rPr>
        <w:footnoteRef/>
      </w:r>
      <w:r>
        <w:t xml:space="preserve"> </w:t>
      </w:r>
    </w:p>
  </w:footnote>
  <w:footnote w:id="3">
    <w:p w14:paraId="3FEDDC0F" w14:textId="77777777" w:rsidR="00880962" w:rsidRPr="004A18D9" w:rsidRDefault="00880962" w:rsidP="00880962">
      <w:pPr>
        <w:pStyle w:val="FootnoteText"/>
        <w:rPr>
          <w:lang w:val="en-IN"/>
        </w:rPr>
      </w:pPr>
      <w:r>
        <w:rPr>
          <w:rStyle w:val="FootnoteReference"/>
        </w:rPr>
        <w:footnoteRef/>
      </w:r>
      <w:r>
        <w:t xml:space="preserve"> </w:t>
      </w:r>
    </w:p>
  </w:footnote>
  <w:footnote w:id="4">
    <w:p w14:paraId="231FF3FB" w14:textId="77777777" w:rsidR="00880962" w:rsidRPr="004A18D9" w:rsidRDefault="00880962" w:rsidP="00880962">
      <w:pPr>
        <w:pStyle w:val="FootnoteText"/>
        <w:rPr>
          <w:lang w:val="en-IN"/>
        </w:rPr>
      </w:pPr>
      <w:r>
        <w:rPr>
          <w:rStyle w:val="FootnoteReference"/>
        </w:rPr>
        <w:footnoteRef/>
      </w:r>
      <w:r>
        <w:t xml:space="preserve"> </w:t>
      </w:r>
    </w:p>
  </w:footnote>
  <w:footnote w:id="5">
    <w:p w14:paraId="3E89092A" w14:textId="421C9125" w:rsidR="009B1B19" w:rsidRPr="009B1B19" w:rsidRDefault="009B1B19">
      <w:pPr>
        <w:pStyle w:val="FootnoteText"/>
        <w:rPr>
          <w:lang w:val="en-IN"/>
        </w:rPr>
      </w:pPr>
      <w:r>
        <w:rPr>
          <w:rStyle w:val="FootnoteReference"/>
        </w:rPr>
        <w:footnoteRef/>
      </w:r>
      <w:r>
        <w:t xml:space="preserve"> </w:t>
      </w:r>
    </w:p>
  </w:footnote>
  <w:footnote w:id="6">
    <w:p w14:paraId="1BDFB76E" w14:textId="77777777" w:rsidR="00880962" w:rsidRPr="00070777" w:rsidRDefault="00880962" w:rsidP="00880962">
      <w:pPr>
        <w:pStyle w:val="FootnoteText"/>
        <w:rPr>
          <w:lang w:val="en-IN"/>
        </w:rPr>
      </w:pPr>
      <w:r>
        <w:rPr>
          <w:rStyle w:val="FootnoteReference"/>
        </w:rPr>
        <w:footnoteRef/>
      </w:r>
      <w:r>
        <w:t xml:space="preserve"> </w:t>
      </w:r>
    </w:p>
  </w:footnote>
  <w:footnote w:id="7">
    <w:p w14:paraId="708CC93B" w14:textId="77777777" w:rsidR="00880962" w:rsidRPr="00070777" w:rsidRDefault="00880962" w:rsidP="00880962">
      <w:pPr>
        <w:pStyle w:val="FootnoteText"/>
        <w:rPr>
          <w:lang w:val="en-IN"/>
        </w:rPr>
      </w:pPr>
      <w:r>
        <w:rPr>
          <w:rStyle w:val="FootnoteReference"/>
        </w:rPr>
        <w:footnoteRef/>
      </w:r>
      <w:r>
        <w:t xml:space="preserve"> Varun</w:t>
      </w:r>
    </w:p>
  </w:footnote>
  <w:footnote w:id="8">
    <w:p w14:paraId="6410C734" w14:textId="77777777" w:rsidR="00880962" w:rsidRPr="00070777" w:rsidRDefault="00880962" w:rsidP="00880962">
      <w:pPr>
        <w:pStyle w:val="FootnoteText"/>
        <w:rPr>
          <w:lang w:val="en-IN"/>
        </w:rPr>
      </w:pPr>
      <w:r>
        <w:rPr>
          <w:rStyle w:val="FootnoteReference"/>
        </w:rPr>
        <w:footnoteRef/>
      </w:r>
      <w:r>
        <w:t xml:space="preserve"> </w:t>
      </w:r>
      <w:proofErr w:type="spellStart"/>
      <w:r>
        <w:t>varun</w:t>
      </w:r>
      <w:proofErr w:type="spellEnd"/>
    </w:p>
  </w:footnote>
  <w:footnote w:id="9">
    <w:p w14:paraId="32263DE6" w14:textId="77777777" w:rsidR="002B0EAA" w:rsidRPr="00070777" w:rsidRDefault="002B0EAA" w:rsidP="002B0EAA">
      <w:pPr>
        <w:pStyle w:val="FootnoteText"/>
        <w:rPr>
          <w:lang w:val="en-IN"/>
        </w:rPr>
      </w:pPr>
      <w:r>
        <w:rPr>
          <w:rStyle w:val="FootnoteReference"/>
        </w:rPr>
        <w:footnoteRef/>
      </w:r>
      <w:r>
        <w:t xml:space="preserve"> </w:t>
      </w:r>
    </w:p>
  </w:footnote>
  <w:footnote w:id="10">
    <w:p w14:paraId="73EBB2FE" w14:textId="77777777" w:rsidR="00880962" w:rsidRPr="00070777" w:rsidRDefault="00880962" w:rsidP="00880962">
      <w:pPr>
        <w:pStyle w:val="FootnoteText"/>
        <w:rPr>
          <w:lang w:val="en-IN"/>
        </w:rPr>
      </w:pPr>
      <w:r>
        <w:rPr>
          <w:rStyle w:val="FootnoteReference"/>
        </w:rPr>
        <w:footnoteRef/>
      </w:r>
      <w:r>
        <w:t xml:space="preserve"> </w:t>
      </w:r>
    </w:p>
  </w:footnote>
  <w:footnote w:id="11">
    <w:p w14:paraId="343EB2AF" w14:textId="77777777" w:rsidR="00880962" w:rsidRPr="00070777" w:rsidRDefault="00880962" w:rsidP="00880962">
      <w:pPr>
        <w:pStyle w:val="FootnoteText"/>
        <w:rPr>
          <w:lang w:val="en-IN"/>
        </w:rPr>
      </w:pPr>
      <w:r>
        <w:rPr>
          <w:rStyle w:val="FootnoteReference"/>
        </w:rPr>
        <w:footnoteRef/>
      </w:r>
      <w:r>
        <w:t xml:space="preserve"> </w:t>
      </w:r>
    </w:p>
  </w:footnote>
  <w:footnote w:id="12">
    <w:p w14:paraId="6459B984" w14:textId="77777777" w:rsidR="00880962" w:rsidRPr="00114F5B" w:rsidRDefault="00880962" w:rsidP="00880962">
      <w:pPr>
        <w:pStyle w:val="FootnoteText"/>
        <w:rPr>
          <w:lang w:val="en-IN"/>
        </w:rPr>
      </w:pPr>
      <w:r>
        <w:rPr>
          <w:rStyle w:val="FootnoteReference"/>
        </w:rPr>
        <w:footnoteRef/>
      </w:r>
      <w:r>
        <w:t xml:space="preserve"> </w:t>
      </w:r>
    </w:p>
  </w:footnote>
  <w:footnote w:id="13">
    <w:p w14:paraId="612EE3E7" w14:textId="77777777" w:rsidR="00880962" w:rsidRPr="00070777" w:rsidRDefault="00880962" w:rsidP="00880962">
      <w:pPr>
        <w:pStyle w:val="FootnoteText"/>
        <w:rPr>
          <w:lang w:val="en-IN"/>
        </w:rPr>
      </w:pPr>
      <w:r>
        <w:rPr>
          <w:rStyle w:val="FootnoteReference"/>
        </w:rPr>
        <w:footnoteRef/>
      </w:r>
      <w:r>
        <w:t xml:space="preserve"> </w:t>
      </w:r>
    </w:p>
  </w:footnote>
  <w:footnote w:id="14">
    <w:p w14:paraId="5EEA04C9" w14:textId="77777777" w:rsidR="00880962" w:rsidRPr="00070777" w:rsidRDefault="00880962" w:rsidP="00880962">
      <w:pPr>
        <w:pStyle w:val="FootnoteText"/>
        <w:rPr>
          <w:lang w:val="en-IN"/>
        </w:rPr>
      </w:pPr>
      <w:r>
        <w:rPr>
          <w:rStyle w:val="FootnoteReference"/>
        </w:rPr>
        <w:footnoteRef/>
      </w:r>
      <w:r>
        <w:t xml:space="preserve"> </w:t>
      </w:r>
    </w:p>
  </w:footnote>
  <w:footnote w:id="15">
    <w:p w14:paraId="52C67420" w14:textId="77777777" w:rsidR="00880962" w:rsidRPr="00070777" w:rsidRDefault="00880962" w:rsidP="00880962">
      <w:pPr>
        <w:pStyle w:val="FootnoteText"/>
        <w:rPr>
          <w:lang w:val="en-IN"/>
        </w:rPr>
      </w:pPr>
      <w:r>
        <w:rPr>
          <w:rStyle w:val="FootnoteReference"/>
        </w:rPr>
        <w:footnoteRef/>
      </w:r>
      <w:r>
        <w:t xml:space="preserve"> </w:t>
      </w:r>
    </w:p>
  </w:footnote>
  <w:footnote w:id="16">
    <w:p w14:paraId="2261D90D" w14:textId="77777777" w:rsidR="00880962" w:rsidRPr="00070777" w:rsidRDefault="00880962" w:rsidP="00880962">
      <w:pPr>
        <w:pStyle w:val="FootnoteText"/>
        <w:rPr>
          <w:lang w:val="en-IN"/>
        </w:rPr>
      </w:pPr>
      <w:r>
        <w:rPr>
          <w:rStyle w:val="FootnoteReference"/>
        </w:rPr>
        <w:footnoteRef/>
      </w:r>
      <w:r>
        <w:t xml:space="preserve"> </w:t>
      </w:r>
    </w:p>
  </w:footnote>
  <w:footnote w:id="17">
    <w:p w14:paraId="1ED09101" w14:textId="77777777" w:rsidR="00880962" w:rsidRPr="00070777" w:rsidRDefault="00880962" w:rsidP="00880962">
      <w:pPr>
        <w:pStyle w:val="FootnoteText"/>
        <w:rPr>
          <w:lang w:val="en-IN"/>
        </w:rPr>
      </w:pPr>
      <w:r>
        <w:rPr>
          <w:rStyle w:val="FootnoteReference"/>
        </w:rPr>
        <w:footnoteRef/>
      </w:r>
      <w:r>
        <w:t xml:space="preserve"> </w:t>
      </w:r>
    </w:p>
  </w:footnote>
  <w:footnote w:id="18">
    <w:p w14:paraId="42579F91" w14:textId="77777777" w:rsidR="00880962" w:rsidRPr="00070777" w:rsidRDefault="00880962" w:rsidP="00880962">
      <w:pPr>
        <w:pStyle w:val="FootnoteText"/>
        <w:rPr>
          <w:lang w:val="en-IN"/>
        </w:rPr>
      </w:pPr>
      <w:r>
        <w:rPr>
          <w:rStyle w:val="FootnoteReference"/>
        </w:rPr>
        <w:footnoteRef/>
      </w:r>
      <w:r>
        <w:t xml:space="preserve"> </w:t>
      </w:r>
    </w:p>
  </w:footnote>
  <w:footnote w:id="19">
    <w:p w14:paraId="36914D1A" w14:textId="77777777" w:rsidR="00880962" w:rsidRPr="00070777" w:rsidRDefault="00880962" w:rsidP="00880962">
      <w:pPr>
        <w:pStyle w:val="FootnoteText"/>
        <w:rPr>
          <w:lang w:val="en-IN"/>
        </w:rPr>
      </w:pPr>
      <w:r>
        <w:rPr>
          <w:rStyle w:val="FootnoteReference"/>
        </w:rPr>
        <w:footnoteRef/>
      </w:r>
      <w:r>
        <w:t xml:space="preserve"> </w:t>
      </w:r>
    </w:p>
  </w:footnote>
  <w:footnote w:id="20">
    <w:p w14:paraId="7F47A699" w14:textId="77777777" w:rsidR="00880962" w:rsidRPr="00070777" w:rsidRDefault="00880962" w:rsidP="00880962">
      <w:pPr>
        <w:pStyle w:val="FootnoteText"/>
        <w:rPr>
          <w:lang w:val="en-IN"/>
        </w:rPr>
      </w:pPr>
      <w:r>
        <w:rPr>
          <w:rStyle w:val="FootnoteReference"/>
        </w:rPr>
        <w:footnoteRef/>
      </w:r>
      <w:r>
        <w:t xml:space="preserve"> </w:t>
      </w:r>
    </w:p>
  </w:footnote>
  <w:footnote w:id="21">
    <w:p w14:paraId="7ACF38B6" w14:textId="77777777" w:rsidR="00880962" w:rsidRPr="00070777" w:rsidRDefault="00880962" w:rsidP="00880962">
      <w:pPr>
        <w:pStyle w:val="FootnoteText"/>
        <w:rPr>
          <w:lang w:val="en-IN"/>
        </w:rPr>
      </w:pPr>
      <w:r>
        <w:rPr>
          <w:rStyle w:val="FootnoteReference"/>
        </w:rPr>
        <w:footnoteRef/>
      </w:r>
      <w:r>
        <w:t xml:space="preserve"> </w:t>
      </w:r>
    </w:p>
  </w:footnote>
  <w:footnote w:id="22">
    <w:p w14:paraId="7ABF8524" w14:textId="77777777" w:rsidR="00880962" w:rsidRPr="00070777" w:rsidRDefault="00880962" w:rsidP="00880962">
      <w:pPr>
        <w:pStyle w:val="FootnoteText"/>
        <w:rPr>
          <w:lang w:val="en-IN"/>
        </w:rPr>
      </w:pPr>
      <w:r>
        <w:rPr>
          <w:rStyle w:val="FootnoteReference"/>
        </w:rPr>
        <w:footnoteRef/>
      </w:r>
      <w:r>
        <w:t xml:space="preserve"> </w:t>
      </w:r>
    </w:p>
  </w:footnote>
  <w:footnote w:id="23">
    <w:p w14:paraId="2063ACFE" w14:textId="77777777" w:rsidR="00880962" w:rsidRPr="00070777" w:rsidRDefault="00880962" w:rsidP="00880962">
      <w:pPr>
        <w:pStyle w:val="FootnoteText"/>
        <w:rPr>
          <w:lang w:val="en-IN"/>
        </w:rPr>
      </w:pPr>
      <w:r>
        <w:rPr>
          <w:rStyle w:val="FootnoteReference"/>
        </w:rPr>
        <w:footnoteRef/>
      </w:r>
      <w:r>
        <w:t xml:space="preserve"> </w:t>
      </w:r>
    </w:p>
  </w:footnote>
  <w:footnote w:id="24">
    <w:p w14:paraId="2AF049F1" w14:textId="77777777" w:rsidR="00880962" w:rsidRPr="00070777" w:rsidRDefault="00880962" w:rsidP="00880962">
      <w:pPr>
        <w:pStyle w:val="FootnoteText"/>
        <w:rPr>
          <w:lang w:val="en-IN"/>
        </w:rPr>
      </w:pPr>
      <w:r>
        <w:rPr>
          <w:rStyle w:val="FootnoteReference"/>
        </w:rPr>
        <w:footnoteRef/>
      </w:r>
      <w:r>
        <w:t xml:space="preserve"> Vaibhav</w:t>
      </w:r>
    </w:p>
  </w:footnote>
  <w:footnote w:id="25">
    <w:p w14:paraId="5F5168D5" w14:textId="77777777" w:rsidR="00880962" w:rsidRPr="00070777" w:rsidRDefault="00880962" w:rsidP="00880962">
      <w:pPr>
        <w:pStyle w:val="FootnoteText"/>
        <w:rPr>
          <w:lang w:val="en-IN"/>
        </w:rPr>
      </w:pPr>
      <w:r>
        <w:rPr>
          <w:rStyle w:val="FootnoteReference"/>
        </w:rPr>
        <w:footnoteRef/>
      </w:r>
      <w:r>
        <w:t xml:space="preserve"> </w:t>
      </w:r>
    </w:p>
  </w:footnote>
  <w:footnote w:id="26">
    <w:p w14:paraId="512F9BC1" w14:textId="77777777" w:rsidR="00880962" w:rsidRPr="00070777" w:rsidRDefault="00880962" w:rsidP="00880962">
      <w:pPr>
        <w:pStyle w:val="FootnoteText"/>
        <w:rPr>
          <w:lang w:val="en-IN"/>
        </w:rPr>
      </w:pPr>
      <w:r>
        <w:rPr>
          <w:rStyle w:val="FootnoteReference"/>
        </w:rPr>
        <w:footnoteRef/>
      </w:r>
      <w:r>
        <w:t xml:space="preserve"> </w:t>
      </w:r>
    </w:p>
  </w:footnote>
  <w:footnote w:id="27">
    <w:p w14:paraId="2A7715EE" w14:textId="77777777" w:rsidR="00880962" w:rsidRPr="00070777" w:rsidRDefault="00880962" w:rsidP="00880962">
      <w:pPr>
        <w:pStyle w:val="FootnoteText"/>
        <w:rPr>
          <w:lang w:val="en-IN"/>
        </w:rPr>
      </w:pPr>
      <w:r>
        <w:rPr>
          <w:rStyle w:val="FootnoteReference"/>
        </w:rPr>
        <w:footnoteRef/>
      </w:r>
      <w:r>
        <w:t xml:space="preserve"> </w:t>
      </w:r>
    </w:p>
  </w:footnote>
  <w:footnote w:id="28">
    <w:p w14:paraId="359104A2" w14:textId="77777777" w:rsidR="00880962" w:rsidRPr="00070777" w:rsidRDefault="00880962" w:rsidP="00880962">
      <w:pPr>
        <w:pStyle w:val="FootnoteText"/>
        <w:rPr>
          <w:lang w:val="en-IN"/>
        </w:rPr>
      </w:pPr>
      <w:r>
        <w:rPr>
          <w:rStyle w:val="FootnoteReference"/>
        </w:rPr>
        <w:footnoteRef/>
      </w:r>
      <w:r>
        <w:t xml:space="preserve"> </w:t>
      </w:r>
    </w:p>
  </w:footnote>
  <w:footnote w:id="29">
    <w:p w14:paraId="176B8509" w14:textId="77777777" w:rsidR="00880962" w:rsidRPr="00070777" w:rsidRDefault="00880962" w:rsidP="00880962">
      <w:pPr>
        <w:pStyle w:val="FootnoteText"/>
        <w:rPr>
          <w:lang w:val="en-IN"/>
        </w:rPr>
      </w:pPr>
      <w:r>
        <w:rPr>
          <w:rStyle w:val="FootnoteReference"/>
        </w:rPr>
        <w:footnoteRef/>
      </w:r>
      <w:r>
        <w:t xml:space="preserve"> </w:t>
      </w:r>
    </w:p>
  </w:footnote>
  <w:footnote w:id="30">
    <w:p w14:paraId="12DB5701" w14:textId="77777777" w:rsidR="00880962" w:rsidRPr="00070777" w:rsidRDefault="00880962" w:rsidP="00880962">
      <w:pPr>
        <w:pStyle w:val="FootnoteText"/>
        <w:rPr>
          <w:lang w:val="en-IN"/>
        </w:rPr>
      </w:pPr>
      <w:r>
        <w:rPr>
          <w:rStyle w:val="FootnoteReference"/>
        </w:rPr>
        <w:footnoteRef/>
      </w:r>
      <w:r>
        <w:t xml:space="preserve"> </w:t>
      </w:r>
    </w:p>
  </w:footnote>
  <w:footnote w:id="31">
    <w:p w14:paraId="03A585B4" w14:textId="77777777" w:rsidR="00880962" w:rsidRPr="00070777" w:rsidRDefault="00880962" w:rsidP="00880962">
      <w:pPr>
        <w:pStyle w:val="FootnoteText"/>
        <w:rPr>
          <w:lang w:val="en-IN"/>
        </w:rPr>
      </w:pPr>
      <w:r>
        <w:rPr>
          <w:rStyle w:val="FootnoteReference"/>
        </w:rPr>
        <w:footnoteRef/>
      </w:r>
      <w:r>
        <w:t xml:space="preserve"> </w:t>
      </w:r>
    </w:p>
  </w:footnote>
  <w:footnote w:id="32">
    <w:p w14:paraId="3479807F" w14:textId="165AB948" w:rsidR="00EB3477" w:rsidRPr="00EB3477" w:rsidRDefault="00EB3477">
      <w:pPr>
        <w:pStyle w:val="FootnoteText"/>
        <w:rPr>
          <w:lang w:val="en-IN"/>
        </w:rPr>
      </w:pPr>
      <w:r>
        <w:rPr>
          <w:rStyle w:val="FootnoteReference"/>
        </w:rPr>
        <w:footnoteRef/>
      </w:r>
      <w:r>
        <w:t xml:space="preserve"> </w:t>
      </w:r>
    </w:p>
  </w:footnote>
  <w:footnote w:id="33">
    <w:p w14:paraId="5C85B430" w14:textId="13BCF300" w:rsidR="003F467F" w:rsidRPr="003F467F" w:rsidRDefault="003F467F">
      <w:pPr>
        <w:pStyle w:val="FootnoteText"/>
        <w:rPr>
          <w:lang w:val="en-IN"/>
        </w:rPr>
      </w:pPr>
      <w:r>
        <w:rPr>
          <w:rStyle w:val="FootnoteReference"/>
        </w:rPr>
        <w:footnoteRef/>
      </w:r>
      <w:r>
        <w:t xml:space="preserve"> </w:t>
      </w:r>
    </w:p>
  </w:footnote>
  <w:footnote w:id="34">
    <w:p w14:paraId="0A66E2A3" w14:textId="77777777" w:rsidR="00880962" w:rsidRPr="00070777" w:rsidRDefault="00880962" w:rsidP="00880962">
      <w:pPr>
        <w:pStyle w:val="FootnoteText"/>
        <w:rPr>
          <w:lang w:val="en-IN"/>
        </w:rPr>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0358A1"/>
    <w:multiLevelType w:val="hybridMultilevel"/>
    <w:tmpl w:val="3B4E8D4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73420A2"/>
    <w:multiLevelType w:val="multilevel"/>
    <w:tmpl w:val="46F805F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B482600"/>
    <w:multiLevelType w:val="multilevel"/>
    <w:tmpl w:val="EFB6C6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672152243">
    <w:abstractNumId w:val="2"/>
  </w:num>
  <w:num w:numId="2" w16cid:durableId="914052222">
    <w:abstractNumId w:val="1"/>
  </w:num>
  <w:num w:numId="3" w16cid:durableId="31807818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Vaibhav Gupta">
    <w15:presenceInfo w15:providerId="Windows Live" w15:userId="b4d9fbfa21c9fed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962"/>
    <w:rsid w:val="000C6546"/>
    <w:rsid w:val="0012573E"/>
    <w:rsid w:val="002215B0"/>
    <w:rsid w:val="002459B2"/>
    <w:rsid w:val="002B0EAA"/>
    <w:rsid w:val="00330D6B"/>
    <w:rsid w:val="003F467F"/>
    <w:rsid w:val="006A65EE"/>
    <w:rsid w:val="00872EEE"/>
    <w:rsid w:val="00880962"/>
    <w:rsid w:val="00924C87"/>
    <w:rsid w:val="009B1B19"/>
    <w:rsid w:val="00A57C13"/>
    <w:rsid w:val="00AF6D33"/>
    <w:rsid w:val="00B34ECC"/>
    <w:rsid w:val="00B5779B"/>
    <w:rsid w:val="00C03619"/>
    <w:rsid w:val="00CC2CF3"/>
    <w:rsid w:val="00D460A3"/>
    <w:rsid w:val="00EB347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3B3F2"/>
  <w15:chartTrackingRefBased/>
  <w15:docId w15:val="{B5F27BF9-D296-4739-A539-CF25A4AD1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0962"/>
    <w:pPr>
      <w:spacing w:after="0" w:line="276" w:lineRule="auto"/>
    </w:pPr>
    <w:rPr>
      <w:rFonts w:ascii="Arial" w:eastAsia="Arial" w:hAnsi="Arial" w:cs="Arial"/>
      <w:lang w:val="en-GB" w:eastAsia="en-IN"/>
    </w:rPr>
  </w:style>
  <w:style w:type="paragraph" w:styleId="Heading1">
    <w:name w:val="heading 1"/>
    <w:basedOn w:val="Normal"/>
    <w:next w:val="Normal"/>
    <w:link w:val="Heading1Char"/>
    <w:uiPriority w:val="9"/>
    <w:qFormat/>
    <w:rsid w:val="00880962"/>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880962"/>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rsid w:val="00880962"/>
    <w:pPr>
      <w:keepNext/>
      <w:keepLines/>
      <w:spacing w:before="320" w:after="80"/>
      <w:outlineLvl w:val="2"/>
    </w:pPr>
    <w:rPr>
      <w:color w:val="434343"/>
      <w:sz w:val="28"/>
      <w:szCs w:val="28"/>
    </w:rPr>
  </w:style>
  <w:style w:type="paragraph" w:styleId="Heading4">
    <w:name w:val="heading 4"/>
    <w:basedOn w:val="Normal"/>
    <w:next w:val="Normal"/>
    <w:link w:val="Heading4Char"/>
    <w:uiPriority w:val="9"/>
    <w:unhideWhenUsed/>
    <w:qFormat/>
    <w:rsid w:val="00880962"/>
    <w:pPr>
      <w:keepNext/>
      <w:keepLines/>
      <w:spacing w:before="280" w:after="80"/>
      <w:outlineLvl w:val="3"/>
    </w:pPr>
    <w:rPr>
      <w:color w:val="666666"/>
      <w:sz w:val="24"/>
      <w:szCs w:val="24"/>
    </w:rPr>
  </w:style>
  <w:style w:type="paragraph" w:styleId="Heading5">
    <w:name w:val="heading 5"/>
    <w:basedOn w:val="Normal"/>
    <w:next w:val="Normal"/>
    <w:link w:val="Heading5Char"/>
    <w:uiPriority w:val="9"/>
    <w:unhideWhenUsed/>
    <w:qFormat/>
    <w:rsid w:val="00880962"/>
    <w:pPr>
      <w:keepNext/>
      <w:keepLines/>
      <w:spacing w:before="240" w:after="80"/>
      <w:outlineLvl w:val="4"/>
    </w:pPr>
    <w:rPr>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0962"/>
    <w:rPr>
      <w:rFonts w:ascii="Arial" w:eastAsia="Arial" w:hAnsi="Arial" w:cs="Arial"/>
      <w:sz w:val="40"/>
      <w:szCs w:val="40"/>
      <w:lang w:val="en-GB" w:eastAsia="en-IN"/>
    </w:rPr>
  </w:style>
  <w:style w:type="character" w:customStyle="1" w:styleId="Heading2Char">
    <w:name w:val="Heading 2 Char"/>
    <w:basedOn w:val="DefaultParagraphFont"/>
    <w:link w:val="Heading2"/>
    <w:uiPriority w:val="9"/>
    <w:rsid w:val="00880962"/>
    <w:rPr>
      <w:rFonts w:ascii="Arial" w:eastAsia="Arial" w:hAnsi="Arial" w:cs="Arial"/>
      <w:sz w:val="32"/>
      <w:szCs w:val="32"/>
      <w:lang w:val="en-GB" w:eastAsia="en-IN"/>
    </w:rPr>
  </w:style>
  <w:style w:type="character" w:customStyle="1" w:styleId="Heading3Char">
    <w:name w:val="Heading 3 Char"/>
    <w:basedOn w:val="DefaultParagraphFont"/>
    <w:link w:val="Heading3"/>
    <w:uiPriority w:val="9"/>
    <w:rsid w:val="00880962"/>
    <w:rPr>
      <w:rFonts w:ascii="Arial" w:eastAsia="Arial" w:hAnsi="Arial" w:cs="Arial"/>
      <w:color w:val="434343"/>
      <w:sz w:val="28"/>
      <w:szCs w:val="28"/>
      <w:lang w:val="en-GB" w:eastAsia="en-IN"/>
    </w:rPr>
  </w:style>
  <w:style w:type="character" w:customStyle="1" w:styleId="Heading4Char">
    <w:name w:val="Heading 4 Char"/>
    <w:basedOn w:val="DefaultParagraphFont"/>
    <w:link w:val="Heading4"/>
    <w:uiPriority w:val="9"/>
    <w:rsid w:val="00880962"/>
    <w:rPr>
      <w:rFonts w:ascii="Arial" w:eastAsia="Arial" w:hAnsi="Arial" w:cs="Arial"/>
      <w:color w:val="666666"/>
      <w:sz w:val="24"/>
      <w:szCs w:val="24"/>
      <w:lang w:val="en-GB" w:eastAsia="en-IN"/>
    </w:rPr>
  </w:style>
  <w:style w:type="character" w:customStyle="1" w:styleId="Heading5Char">
    <w:name w:val="Heading 5 Char"/>
    <w:basedOn w:val="DefaultParagraphFont"/>
    <w:link w:val="Heading5"/>
    <w:uiPriority w:val="9"/>
    <w:rsid w:val="00880962"/>
    <w:rPr>
      <w:rFonts w:ascii="Arial" w:eastAsia="Arial" w:hAnsi="Arial" w:cs="Arial"/>
      <w:color w:val="666666"/>
      <w:lang w:val="en-GB" w:eastAsia="en-IN"/>
    </w:rPr>
  </w:style>
  <w:style w:type="paragraph" w:styleId="FootnoteText">
    <w:name w:val="footnote text"/>
    <w:basedOn w:val="Normal"/>
    <w:link w:val="FootnoteTextChar"/>
    <w:uiPriority w:val="99"/>
    <w:semiHidden/>
    <w:unhideWhenUsed/>
    <w:rsid w:val="00880962"/>
    <w:pPr>
      <w:spacing w:line="240" w:lineRule="auto"/>
    </w:pPr>
    <w:rPr>
      <w:sz w:val="20"/>
      <w:szCs w:val="20"/>
    </w:rPr>
  </w:style>
  <w:style w:type="character" w:customStyle="1" w:styleId="FootnoteTextChar">
    <w:name w:val="Footnote Text Char"/>
    <w:basedOn w:val="DefaultParagraphFont"/>
    <w:link w:val="FootnoteText"/>
    <w:uiPriority w:val="99"/>
    <w:semiHidden/>
    <w:rsid w:val="00880962"/>
    <w:rPr>
      <w:rFonts w:ascii="Arial" w:eastAsia="Arial" w:hAnsi="Arial" w:cs="Arial"/>
      <w:sz w:val="20"/>
      <w:szCs w:val="20"/>
      <w:lang w:val="en-GB" w:eastAsia="en-IN"/>
    </w:rPr>
  </w:style>
  <w:style w:type="character" w:styleId="FootnoteReference">
    <w:name w:val="footnote reference"/>
    <w:basedOn w:val="DefaultParagraphFont"/>
    <w:uiPriority w:val="99"/>
    <w:semiHidden/>
    <w:unhideWhenUsed/>
    <w:rsid w:val="00880962"/>
    <w:rPr>
      <w:vertAlign w:val="superscript"/>
    </w:rPr>
  </w:style>
  <w:style w:type="table" w:styleId="TableGrid">
    <w:name w:val="Table Grid"/>
    <w:basedOn w:val="TableNormal"/>
    <w:uiPriority w:val="39"/>
    <w:rsid w:val="008809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2B0EA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2B0EAA"/>
    <w:rPr>
      <w:sz w:val="16"/>
      <w:szCs w:val="16"/>
    </w:rPr>
  </w:style>
  <w:style w:type="paragraph" w:styleId="CommentText">
    <w:name w:val="annotation text"/>
    <w:basedOn w:val="Normal"/>
    <w:link w:val="CommentTextChar"/>
    <w:uiPriority w:val="99"/>
    <w:semiHidden/>
    <w:unhideWhenUsed/>
    <w:rsid w:val="002B0EAA"/>
    <w:pPr>
      <w:spacing w:line="240" w:lineRule="auto"/>
    </w:pPr>
    <w:rPr>
      <w:sz w:val="20"/>
      <w:szCs w:val="20"/>
    </w:rPr>
  </w:style>
  <w:style w:type="character" w:customStyle="1" w:styleId="CommentTextChar">
    <w:name w:val="Comment Text Char"/>
    <w:basedOn w:val="DefaultParagraphFont"/>
    <w:link w:val="CommentText"/>
    <w:uiPriority w:val="99"/>
    <w:semiHidden/>
    <w:rsid w:val="002B0EAA"/>
    <w:rPr>
      <w:rFonts w:ascii="Arial" w:eastAsia="Arial" w:hAnsi="Arial" w:cs="Arial"/>
      <w:sz w:val="20"/>
      <w:szCs w:val="20"/>
      <w:lang w:val="en-GB" w:eastAsia="en-IN"/>
    </w:rPr>
  </w:style>
  <w:style w:type="paragraph" w:styleId="CommentSubject">
    <w:name w:val="annotation subject"/>
    <w:basedOn w:val="CommentText"/>
    <w:next w:val="CommentText"/>
    <w:link w:val="CommentSubjectChar"/>
    <w:uiPriority w:val="99"/>
    <w:semiHidden/>
    <w:unhideWhenUsed/>
    <w:rsid w:val="002B0EAA"/>
    <w:rPr>
      <w:b/>
      <w:bCs/>
    </w:rPr>
  </w:style>
  <w:style w:type="character" w:customStyle="1" w:styleId="CommentSubjectChar">
    <w:name w:val="Comment Subject Char"/>
    <w:basedOn w:val="CommentTextChar"/>
    <w:link w:val="CommentSubject"/>
    <w:uiPriority w:val="99"/>
    <w:semiHidden/>
    <w:rsid w:val="002B0EAA"/>
    <w:rPr>
      <w:rFonts w:ascii="Arial" w:eastAsia="Arial" w:hAnsi="Arial" w:cs="Arial"/>
      <w:b/>
      <w:bCs/>
      <w:sz w:val="20"/>
      <w:szCs w:val="20"/>
      <w:lang w:val="en-GB" w:eastAsia="en-IN"/>
    </w:rPr>
  </w:style>
  <w:style w:type="paragraph" w:styleId="ListParagraph">
    <w:name w:val="List Paragraph"/>
    <w:basedOn w:val="Normal"/>
    <w:uiPriority w:val="34"/>
    <w:qFormat/>
    <w:rsid w:val="00EB34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docs.live.net/b4d9fbfa21c9feda/Desktop/Family%20law%20Research%20paper.doc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636F7-6F0F-4A5A-B7F3-3989F0A1A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661</TotalTime>
  <Pages>13</Pages>
  <Words>3496</Words>
  <Characters>19928</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Vaibhav Gupta</dc:creator>
  <cp:keywords/>
  <dc:description/>
  <cp:lastModifiedBy>Vaibhav Gupta</cp:lastModifiedBy>
  <cp:revision>4</cp:revision>
  <dcterms:created xsi:type="dcterms:W3CDTF">2022-10-01T17:44:00Z</dcterms:created>
  <dcterms:modified xsi:type="dcterms:W3CDTF">2022-10-03T03:57:00Z</dcterms:modified>
</cp:coreProperties>
</file>